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8CB" w:rsidRPr="005748CB" w:rsidRDefault="005748CB" w:rsidP="005748CB">
      <w:pPr>
        <w:pStyle w:val="Title"/>
        <w:rPr>
          <w:rStyle w:val="Strong"/>
        </w:rPr>
      </w:pPr>
      <w:r w:rsidRPr="005748CB">
        <w:rPr>
          <w:rStyle w:val="Strong"/>
        </w:rPr>
        <w:t>Nillumbik Green Wedge Management Plan</w:t>
      </w:r>
    </w:p>
    <w:p w:rsidR="00EA1FBB" w:rsidRDefault="005748CB" w:rsidP="005748CB">
      <w:pPr>
        <w:pStyle w:val="Title"/>
        <w:rPr>
          <w:rStyle w:val="Strong"/>
        </w:rPr>
      </w:pPr>
      <w:r w:rsidRPr="005748CB">
        <w:rPr>
          <w:rStyle w:val="Strong"/>
        </w:rPr>
        <w:t>Part 1 – background and context</w:t>
      </w:r>
    </w:p>
    <w:p w:rsidR="005748CB" w:rsidRPr="005748CB" w:rsidRDefault="005748CB" w:rsidP="005748CB">
      <w:pPr>
        <w:pStyle w:val="Heading4"/>
      </w:pPr>
      <w:r w:rsidRPr="005748CB">
        <w:t>Preface</w:t>
      </w:r>
    </w:p>
    <w:p w:rsidR="005748CB" w:rsidRPr="005748CB" w:rsidRDefault="005748CB" w:rsidP="005748CB">
      <w:r w:rsidRPr="005748CB">
        <w:t xml:space="preserve">The Nillumbik Green Wedge Management Plan </w:t>
      </w:r>
      <w:r>
        <w:t xml:space="preserve">contains a long term vision for </w:t>
      </w:r>
      <w:r w:rsidRPr="005748CB">
        <w:t>the green wedge and a range of existing and new initiatives that work towards</w:t>
      </w:r>
      <w:r>
        <w:t xml:space="preserve"> </w:t>
      </w:r>
      <w:r w:rsidRPr="005748CB">
        <w:t>delivering that vision. The plan will direct council policy and planning decisions</w:t>
      </w:r>
      <w:r>
        <w:t xml:space="preserve"> </w:t>
      </w:r>
      <w:r w:rsidRPr="005748CB">
        <w:t>relating to the green wedge and will be a referenced document in the planning</w:t>
      </w:r>
      <w:r>
        <w:t xml:space="preserve"> </w:t>
      </w:r>
      <w:r w:rsidRPr="005748CB">
        <w:t>scheme.</w:t>
      </w:r>
    </w:p>
    <w:p w:rsidR="005748CB" w:rsidRPr="005748CB" w:rsidRDefault="005748CB" w:rsidP="005748CB">
      <w:pPr>
        <w:rPr>
          <w:b/>
        </w:rPr>
      </w:pPr>
      <w:r w:rsidRPr="005748CB">
        <w:rPr>
          <w:b/>
        </w:rPr>
        <w:t>A note on the structu</w:t>
      </w:r>
      <w:r>
        <w:rPr>
          <w:b/>
        </w:rPr>
        <w:t xml:space="preserve">re of the Nillumbik Green </w:t>
      </w:r>
      <w:r w:rsidRPr="005748CB">
        <w:rPr>
          <w:b/>
        </w:rPr>
        <w:t>Wedge Management Plan</w:t>
      </w:r>
    </w:p>
    <w:p w:rsidR="005748CB" w:rsidRPr="005748CB" w:rsidRDefault="005748CB" w:rsidP="005748CB">
      <w:r w:rsidRPr="005748CB">
        <w:t>There are two parts to the Nillumbik Gree</w:t>
      </w:r>
      <w:r>
        <w:t xml:space="preserve">n Wedge Management Plan: Part 1 </w:t>
      </w:r>
      <w:r w:rsidRPr="005748CB">
        <w:t>provides background and context, and Part 2 sets out the vision for the</w:t>
      </w:r>
      <w:r w:rsidR="000E100A">
        <w:t xml:space="preserve"> </w:t>
      </w:r>
      <w:r w:rsidRPr="005748CB">
        <w:t>Nillumbik Green Wedge with a framework and implementation plan for</w:t>
      </w:r>
      <w:r w:rsidR="000E100A">
        <w:t xml:space="preserve"> </w:t>
      </w:r>
      <w:r w:rsidRPr="005748CB">
        <w:t>achieving that vision.</w:t>
      </w:r>
    </w:p>
    <w:p w:rsidR="005748CB" w:rsidRPr="005748CB" w:rsidRDefault="005748CB" w:rsidP="000E100A">
      <w:pPr>
        <w:pStyle w:val="Heading5"/>
      </w:pPr>
      <w:r w:rsidRPr="005748CB">
        <w:t>Part 1 – background and context</w:t>
      </w:r>
    </w:p>
    <w:p w:rsidR="005748CB" w:rsidRPr="005748CB" w:rsidRDefault="005748CB" w:rsidP="005748CB">
      <w:r w:rsidRPr="005748CB">
        <w:t>This explains what a green wedge is, what is special about the Nillumbik</w:t>
      </w:r>
      <w:r w:rsidR="000E100A">
        <w:t xml:space="preserve"> </w:t>
      </w:r>
      <w:r w:rsidRPr="005748CB">
        <w:t>Green Wedge, the challenges and issues for its future and why Nillumbik</w:t>
      </w:r>
      <w:r w:rsidR="000E100A">
        <w:t xml:space="preserve"> </w:t>
      </w:r>
      <w:r w:rsidRPr="005748CB">
        <w:t>needs a green wedge management plan. It summarises the policy context for</w:t>
      </w:r>
      <w:r w:rsidR="000E100A">
        <w:t xml:space="preserve"> </w:t>
      </w:r>
      <w:r w:rsidRPr="005748CB">
        <w:t>such a plan and, finally, it describes how the plan was developed through</w:t>
      </w:r>
      <w:r w:rsidR="00D70BFB">
        <w:t xml:space="preserve"> </w:t>
      </w:r>
      <w:r w:rsidRPr="005748CB">
        <w:t>community consultation.</w:t>
      </w:r>
    </w:p>
    <w:p w:rsidR="005748CB" w:rsidRPr="005748CB" w:rsidRDefault="005748CB" w:rsidP="005748CB">
      <w:r w:rsidRPr="005748CB">
        <w:t>More detailed information is available in the Green Wedge Background Paper</w:t>
      </w:r>
      <w:r w:rsidR="00D70BFB">
        <w:t xml:space="preserve"> </w:t>
      </w:r>
      <w:r w:rsidRPr="005748CB">
        <w:t>2007, which outlines the way that land is currently being used in the Nillumbik</w:t>
      </w:r>
      <w:r w:rsidR="00D70BFB">
        <w:t xml:space="preserve"> </w:t>
      </w:r>
      <w:r w:rsidRPr="005748CB">
        <w:t>Green Wedge and is a key source of information for the plan.</w:t>
      </w:r>
    </w:p>
    <w:p w:rsidR="005748CB" w:rsidRPr="005748CB" w:rsidRDefault="005748CB" w:rsidP="005748CB">
      <w:r w:rsidRPr="005748CB">
        <w:t>Appendices in Part 1 include more detailed information on:</w:t>
      </w:r>
    </w:p>
    <w:p w:rsidR="005748CB" w:rsidRPr="005748CB" w:rsidRDefault="005748CB" w:rsidP="00D70BFB">
      <w:pPr>
        <w:pStyle w:val="ListBullet"/>
      </w:pPr>
      <w:r w:rsidRPr="005748CB">
        <w:t>green wedges</w:t>
      </w:r>
    </w:p>
    <w:p w:rsidR="005748CB" w:rsidRPr="005748CB" w:rsidRDefault="005748CB" w:rsidP="00D70BFB">
      <w:pPr>
        <w:pStyle w:val="ListBullet"/>
      </w:pPr>
      <w:r w:rsidRPr="005748CB">
        <w:t>the natural and cultural values of the Nillumbik Green Wedge</w:t>
      </w:r>
    </w:p>
    <w:p w:rsidR="005748CB" w:rsidRPr="005748CB" w:rsidRDefault="005748CB" w:rsidP="00D70BFB">
      <w:pPr>
        <w:pStyle w:val="ListBullet"/>
      </w:pPr>
      <w:r w:rsidRPr="005748CB">
        <w:t>the economy of the Nillumbik Green Wedge</w:t>
      </w:r>
    </w:p>
    <w:p w:rsidR="005748CB" w:rsidRPr="005748CB" w:rsidRDefault="005748CB" w:rsidP="00D70BFB">
      <w:pPr>
        <w:pStyle w:val="ListBullet"/>
      </w:pPr>
      <w:proofErr w:type="gramStart"/>
      <w:r w:rsidRPr="005748CB">
        <w:t>the</w:t>
      </w:r>
      <w:proofErr w:type="gramEnd"/>
      <w:r w:rsidRPr="005748CB">
        <w:t xml:space="preserve"> consultation that informed the management plan.</w:t>
      </w:r>
    </w:p>
    <w:p w:rsidR="005748CB" w:rsidRPr="005748CB" w:rsidRDefault="005748CB" w:rsidP="00D70BFB">
      <w:pPr>
        <w:pStyle w:val="Heading5"/>
      </w:pPr>
      <w:r w:rsidRPr="005748CB">
        <w:t>Part 2 – delivering the vision</w:t>
      </w:r>
    </w:p>
    <w:p w:rsidR="005748CB" w:rsidRPr="005748CB" w:rsidRDefault="005748CB" w:rsidP="005748CB">
      <w:r w:rsidRPr="005748CB">
        <w:t>This sets out the vision for the Nillumbik Green Wedge and ways to work</w:t>
      </w:r>
      <w:r w:rsidR="00D70BFB">
        <w:t xml:space="preserve"> </w:t>
      </w:r>
      <w:r w:rsidRPr="005748CB">
        <w:t>towards achieving that vision. It contains the following sections:</w:t>
      </w:r>
    </w:p>
    <w:p w:rsidR="005748CB" w:rsidRPr="005748CB" w:rsidRDefault="005748CB" w:rsidP="00D70BFB">
      <w:pPr>
        <w:pStyle w:val="ListBullet"/>
      </w:pPr>
      <w:r w:rsidRPr="005748CB">
        <w:t>Summary of the green wedge management plan</w:t>
      </w:r>
    </w:p>
    <w:p w:rsidR="005748CB" w:rsidRPr="005748CB" w:rsidRDefault="005748CB" w:rsidP="00D70BFB">
      <w:pPr>
        <w:pStyle w:val="ListBullet"/>
      </w:pPr>
      <w:r w:rsidRPr="005748CB">
        <w:t>Vision</w:t>
      </w:r>
    </w:p>
    <w:p w:rsidR="005748CB" w:rsidRPr="005748CB" w:rsidRDefault="005748CB" w:rsidP="00D70BFB">
      <w:pPr>
        <w:pStyle w:val="ListBullet"/>
      </w:pPr>
      <w:r w:rsidRPr="005748CB">
        <w:t>Guiding principles</w:t>
      </w:r>
    </w:p>
    <w:p w:rsidR="005748CB" w:rsidRPr="005748CB" w:rsidRDefault="005748CB" w:rsidP="00D70BFB">
      <w:pPr>
        <w:pStyle w:val="ListBullet"/>
      </w:pPr>
      <w:r w:rsidRPr="005748CB">
        <w:t>Aims</w:t>
      </w:r>
    </w:p>
    <w:p w:rsidR="005748CB" w:rsidRPr="005748CB" w:rsidRDefault="005748CB" w:rsidP="00D70BFB">
      <w:pPr>
        <w:pStyle w:val="ListBullet"/>
      </w:pPr>
      <w:r w:rsidRPr="005748CB">
        <w:lastRenderedPageBreak/>
        <w:t>Areas for action</w:t>
      </w:r>
    </w:p>
    <w:p w:rsidR="005748CB" w:rsidRPr="005748CB" w:rsidRDefault="005748CB" w:rsidP="00D70BFB">
      <w:pPr>
        <w:pStyle w:val="ListBullet2"/>
      </w:pPr>
      <w:r w:rsidRPr="005748CB">
        <w:t>environment</w:t>
      </w:r>
    </w:p>
    <w:p w:rsidR="005748CB" w:rsidRPr="005748CB" w:rsidRDefault="005748CB" w:rsidP="00D70BFB">
      <w:pPr>
        <w:pStyle w:val="ListBullet2"/>
      </w:pPr>
      <w:r w:rsidRPr="005748CB">
        <w:t>economy</w:t>
      </w:r>
    </w:p>
    <w:p w:rsidR="005748CB" w:rsidRPr="005748CB" w:rsidRDefault="005748CB" w:rsidP="00D70BFB">
      <w:pPr>
        <w:pStyle w:val="ListBullet2"/>
      </w:pPr>
      <w:r w:rsidRPr="005748CB">
        <w:t>people and communities</w:t>
      </w:r>
    </w:p>
    <w:p w:rsidR="005748CB" w:rsidRPr="005748CB" w:rsidRDefault="005748CB" w:rsidP="00D70BFB">
      <w:pPr>
        <w:pStyle w:val="ListBullet2"/>
      </w:pPr>
      <w:r w:rsidRPr="005748CB">
        <w:t>governance</w:t>
      </w:r>
    </w:p>
    <w:p w:rsidR="005748CB" w:rsidRDefault="005748CB" w:rsidP="00D70BFB">
      <w:pPr>
        <w:pStyle w:val="ListBullet"/>
      </w:pPr>
      <w:r w:rsidRPr="005748CB">
        <w:t>Implementation plan.</w:t>
      </w:r>
    </w:p>
    <w:p w:rsidR="00D70BFB" w:rsidRPr="00D70BFB" w:rsidRDefault="00D70BFB" w:rsidP="00D70BFB">
      <w:pPr>
        <w:pStyle w:val="Heading4"/>
      </w:pPr>
      <w:r w:rsidRPr="00D70BFB">
        <w:t>Acknowledgements</w:t>
      </w:r>
    </w:p>
    <w:p w:rsidR="00D70BFB" w:rsidRPr="00D70BFB" w:rsidRDefault="00D70BFB" w:rsidP="00D70BFB">
      <w:r w:rsidRPr="00D70BFB">
        <w:t>Nillumbik Shire Council and the officer project team wou</w:t>
      </w:r>
      <w:r>
        <w:t xml:space="preserve">ld like to thank all the people </w:t>
      </w:r>
      <w:r w:rsidRPr="00D70BFB">
        <w:t>who took time to attend the workshops, to write to us with their ideas and thoughts</w:t>
      </w:r>
      <w:r>
        <w:t xml:space="preserve"> </w:t>
      </w:r>
      <w:r w:rsidRPr="00D70BFB">
        <w:t>about a future Nillumbik Green Wedge and to respond to the consultation papers and</w:t>
      </w:r>
      <w:r>
        <w:t xml:space="preserve"> </w:t>
      </w:r>
      <w:r w:rsidRPr="00D70BFB">
        <w:t>documents.</w:t>
      </w:r>
    </w:p>
    <w:p w:rsidR="00D70BFB" w:rsidRPr="00D70BFB" w:rsidRDefault="00D70BFB" w:rsidP="00D70BFB">
      <w:r w:rsidRPr="00D70BFB">
        <w:t>In particular we would like to thank the following groups of people for their time,</w:t>
      </w:r>
      <w:r>
        <w:t xml:space="preserve"> </w:t>
      </w:r>
      <w:r w:rsidRPr="00D70BFB">
        <w:t>commitment and expertise in the developme</w:t>
      </w:r>
      <w:r>
        <w:t xml:space="preserve">nt of the Nillumbik Green Wedge </w:t>
      </w:r>
      <w:r w:rsidRPr="00D70BFB">
        <w:t>Management Plan.</w:t>
      </w:r>
    </w:p>
    <w:p w:rsidR="00D70BFB" w:rsidRPr="00D70BFB" w:rsidRDefault="00D70BFB" w:rsidP="00D70BFB">
      <w:r w:rsidRPr="00D70BFB">
        <w:t>Community Advisory Group for the Green Wedge comprising:</w:t>
      </w:r>
    </w:p>
    <w:p w:rsidR="00D70BFB" w:rsidRPr="00D70BFB" w:rsidRDefault="00D70BFB" w:rsidP="00D70BFB">
      <w:pPr>
        <w:pStyle w:val="ListBullet"/>
      </w:pPr>
      <w:r w:rsidRPr="00D70BFB">
        <w:t>council committees</w:t>
      </w:r>
    </w:p>
    <w:p w:rsidR="00D70BFB" w:rsidRPr="00D70BFB" w:rsidRDefault="00D70BFB" w:rsidP="00D70BFB">
      <w:pPr>
        <w:pStyle w:val="ListBullet"/>
      </w:pPr>
      <w:r w:rsidRPr="00D70BFB">
        <w:t>community groups</w:t>
      </w:r>
    </w:p>
    <w:p w:rsidR="00D70BFB" w:rsidRPr="00D70BFB" w:rsidRDefault="00D70BFB" w:rsidP="00D70BFB">
      <w:pPr>
        <w:pStyle w:val="ListBullet"/>
      </w:pPr>
      <w:r w:rsidRPr="00D70BFB">
        <w:t>community members</w:t>
      </w:r>
    </w:p>
    <w:p w:rsidR="00D70BFB" w:rsidRPr="00D70BFB" w:rsidRDefault="00D70BFB" w:rsidP="00D70BFB">
      <w:pPr>
        <w:pStyle w:val="ListBullet"/>
      </w:pPr>
      <w:r w:rsidRPr="00D70BFB">
        <w:t>state agencies</w:t>
      </w:r>
    </w:p>
    <w:p w:rsidR="00D70BFB" w:rsidRPr="00D70BFB" w:rsidRDefault="00D70BFB" w:rsidP="00D70BFB">
      <w:pPr>
        <w:pStyle w:val="ListBullet"/>
      </w:pPr>
      <w:r w:rsidRPr="00D70BFB">
        <w:t>Victorian Department of Planning and Community Development</w:t>
      </w:r>
    </w:p>
    <w:p w:rsidR="00D70BFB" w:rsidRPr="00D70BFB" w:rsidRDefault="00D70BFB" w:rsidP="00D70BFB">
      <w:pPr>
        <w:pStyle w:val="ListBullet"/>
      </w:pPr>
      <w:r w:rsidRPr="00D70BFB">
        <w:t>Nillumbik Shire Councillors from November 2008</w:t>
      </w:r>
    </w:p>
    <w:p w:rsidR="00D70BFB" w:rsidRPr="00D70BFB" w:rsidRDefault="00D70BFB" w:rsidP="00D70BFB">
      <w:pPr>
        <w:pStyle w:val="ListBullet"/>
      </w:pPr>
      <w:r w:rsidRPr="00D70BFB">
        <w:t>neighbouring councils</w:t>
      </w:r>
    </w:p>
    <w:p w:rsidR="00D70BFB" w:rsidRPr="00D70BFB" w:rsidRDefault="00D70BFB" w:rsidP="00D70BFB">
      <w:r w:rsidRPr="00D70BFB">
        <w:t>Officer Technical Working Group</w:t>
      </w:r>
    </w:p>
    <w:p w:rsidR="00D70BFB" w:rsidRPr="00D70BFB" w:rsidRDefault="00D70BFB" w:rsidP="00D70BFB">
      <w:r w:rsidRPr="00D70BFB">
        <w:t>Council officers</w:t>
      </w:r>
    </w:p>
    <w:p w:rsidR="00D70BFB" w:rsidRPr="00D70BFB" w:rsidRDefault="00D70BFB" w:rsidP="00D70BFB">
      <w:r w:rsidRPr="00D70BFB">
        <w:t>DPCD Green Wedges team</w:t>
      </w:r>
    </w:p>
    <w:p w:rsidR="00D70BFB" w:rsidRPr="00D70BFB" w:rsidRDefault="00D70BFB" w:rsidP="00D70BFB">
      <w:r w:rsidRPr="00D70BFB">
        <w:t>We would also like to thank Trevor Budge, Senior Lecturer, Planning, La Trobe</w:t>
      </w:r>
      <w:r>
        <w:t xml:space="preserve"> </w:t>
      </w:r>
      <w:r w:rsidRPr="00D70BFB">
        <w:t>University, Bendigo and Associate Professor Michael Buxton, Social Science and</w:t>
      </w:r>
      <w:r>
        <w:t xml:space="preserve"> </w:t>
      </w:r>
      <w:r w:rsidRPr="00D70BFB">
        <w:t>Planning, Royal Melbourne Institute of Technology, for their assistance at the</w:t>
      </w:r>
      <w:r>
        <w:t xml:space="preserve"> </w:t>
      </w:r>
      <w:r w:rsidRPr="00D70BFB">
        <w:t>beginning of the project and in the values and visioning workshops.</w:t>
      </w:r>
    </w:p>
    <w:p w:rsidR="00D70BFB" w:rsidRDefault="00D70BFB" w:rsidP="00D70BFB">
      <w:r w:rsidRPr="00D70BFB">
        <w:t>A more detailed list of membership of the con</w:t>
      </w:r>
      <w:r>
        <w:t xml:space="preserve">sultation groups is included in </w:t>
      </w:r>
      <w:r w:rsidRPr="00D70BFB">
        <w:t>Appendix 4 – consultation and advisory groups.</w:t>
      </w:r>
    </w:p>
    <w:p w:rsidR="00D70BFB" w:rsidRDefault="00D70BFB">
      <w:r>
        <w:br w:type="page"/>
      </w:r>
    </w:p>
    <w:p w:rsidR="00D70BFB" w:rsidRPr="00D70BFB" w:rsidRDefault="00D70BFB" w:rsidP="00D70BFB">
      <w:pPr>
        <w:pStyle w:val="Heading1"/>
        <w:numPr>
          <w:ilvl w:val="0"/>
          <w:numId w:val="33"/>
        </w:numPr>
      </w:pPr>
      <w:r w:rsidRPr="00D70BFB">
        <w:lastRenderedPageBreak/>
        <w:t>Green wedges</w:t>
      </w:r>
    </w:p>
    <w:p w:rsidR="00D70BFB" w:rsidRPr="00D70BFB" w:rsidRDefault="00D70BFB" w:rsidP="00D70BFB">
      <w:pPr>
        <w:pStyle w:val="Heading2"/>
      </w:pPr>
      <w:r w:rsidRPr="00D70BFB">
        <w:t>What is a green wedge?</w:t>
      </w:r>
    </w:p>
    <w:p w:rsidR="00D70BFB" w:rsidRPr="00D70BFB" w:rsidRDefault="00D70BFB" w:rsidP="00D70BFB">
      <w:r w:rsidRPr="00D70BFB">
        <w:t>Green wedges are the open landscapes that were set aside, more</w:t>
      </w:r>
      <w:r>
        <w:t xml:space="preserve"> </w:t>
      </w:r>
      <w:r w:rsidRPr="00D70BFB">
        <w:t>than 30 years ago, to conserve rural activities and significant natural</w:t>
      </w:r>
      <w:r>
        <w:t xml:space="preserve"> </w:t>
      </w:r>
      <w:r w:rsidRPr="00D70BFB">
        <w:t>features and resources between the growth areas of metropolitan</w:t>
      </w:r>
      <w:r>
        <w:t xml:space="preserve"> </w:t>
      </w:r>
      <w:r w:rsidRPr="00D70BFB">
        <w:t>Melbourne as they spread out along major roads and rail links</w:t>
      </w:r>
      <w:r>
        <w:t xml:space="preserve"> </w:t>
      </w:r>
      <w:r w:rsidRPr="00D70BFB">
        <w:t>(Melbourne 2030).</w:t>
      </w:r>
    </w:p>
    <w:p w:rsidR="00D70BFB" w:rsidRPr="00D70BFB" w:rsidRDefault="00D70BFB" w:rsidP="00D70BFB">
      <w:r w:rsidRPr="00D70BFB">
        <w:t>Green wedge land is defined under the Planning and Environment Act 1987</w:t>
      </w:r>
      <w:r>
        <w:t xml:space="preserve"> </w:t>
      </w:r>
      <w:r w:rsidRPr="00D70BFB">
        <w:t>as land outside the urban growth boundary (UGB). Green wedges have, since</w:t>
      </w:r>
      <w:r>
        <w:t xml:space="preserve"> </w:t>
      </w:r>
      <w:r w:rsidRPr="00D70BFB">
        <w:t>the 1970s, been identified as a key part of Melbourne’s famed ‘liveability’. The</w:t>
      </w:r>
      <w:r>
        <w:t xml:space="preserve"> </w:t>
      </w:r>
      <w:r w:rsidRPr="00D70BFB">
        <w:t>Nillumbik Green Wedge plays a central role in the shire’s appeal as a</w:t>
      </w:r>
      <w:r>
        <w:t xml:space="preserve"> </w:t>
      </w:r>
      <w:r w:rsidRPr="00D70BFB">
        <w:t>desirable place to live.</w:t>
      </w:r>
    </w:p>
    <w:p w:rsidR="00D70BFB" w:rsidRPr="00D70BFB" w:rsidRDefault="00D70BFB" w:rsidP="00D70BFB">
      <w:r w:rsidRPr="00D70BFB">
        <w:t>A description from 1981 shows just how little the city’s vision for its green</w:t>
      </w:r>
      <w:r>
        <w:t xml:space="preserve"> </w:t>
      </w:r>
      <w:r w:rsidRPr="00D70BFB">
        <w:t xml:space="preserve">wedges has changed over the </w:t>
      </w:r>
      <w:proofErr w:type="gramStart"/>
      <w:r w:rsidRPr="00D70BFB">
        <w:t>years.</w:t>
      </w:r>
      <w:proofErr w:type="gramEnd"/>
    </w:p>
    <w:p w:rsidR="00D70BFB" w:rsidRDefault="00D70BFB" w:rsidP="00D70BFB">
      <w:r w:rsidRPr="00D70BFB">
        <w:t>The metropolitan countryside strategic objective</w:t>
      </w:r>
      <w:r>
        <w:t xml:space="preserve">s seek to ensure </w:t>
      </w:r>
      <w:r w:rsidRPr="00D70BFB">
        <w:t>permanent retention of wedges of countryside between the urban</w:t>
      </w:r>
      <w:r>
        <w:t xml:space="preserve"> </w:t>
      </w:r>
      <w:r w:rsidRPr="00D70BFB">
        <w:t>corridors. These wedges ensure that scenic landscapes, farming</w:t>
      </w:r>
      <w:r>
        <w:t xml:space="preserve"> </w:t>
      </w:r>
      <w:r w:rsidRPr="00D70BFB">
        <w:t>areas, native vegetation and wildlife habitats are preserved within the</w:t>
      </w:r>
      <w:r>
        <w:t xml:space="preserve"> </w:t>
      </w:r>
      <w:r w:rsidRPr="00D70BFB">
        <w:t>metropolitan area ... [they] help satisfy</w:t>
      </w:r>
      <w:r>
        <w:t xml:space="preserve"> people’s needs for fresh </w:t>
      </w:r>
      <w:r w:rsidRPr="00D70BFB">
        <w:t>vegetables and other primary products and provide opportunities for</w:t>
      </w:r>
      <w:r>
        <w:t xml:space="preserve"> </w:t>
      </w:r>
      <w:r w:rsidRPr="00D70BFB">
        <w:t>hobby farming and areas where people can ‘escape’ from the city</w:t>
      </w:r>
      <w:r>
        <w:t xml:space="preserve"> </w:t>
      </w:r>
      <w:r w:rsidRPr="00D70BFB">
        <w:t>(Melbourne and Metropolitan Board of Works 1981, p. 85).</w:t>
      </w:r>
    </w:p>
    <w:p w:rsidR="00D70BFB" w:rsidRDefault="00D70BFB" w:rsidP="00D70BFB">
      <w:r>
        <w:rPr>
          <w:noProof/>
          <w:lang w:eastAsia="en-AU"/>
        </w:rPr>
        <w:drawing>
          <wp:inline distT="0" distB="0" distL="0" distR="0">
            <wp:extent cx="5341609" cy="4626591"/>
            <wp:effectExtent l="0" t="0" r="0" b="3175"/>
            <wp:docPr id="3" name="Picture 3" descr="location of Melbourne’s green wedges (Melbourne 20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edg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903" cy="463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BFB" w:rsidRPr="00D70BFB" w:rsidRDefault="00D70BFB" w:rsidP="00D70BFB">
      <w:pPr>
        <w:pStyle w:val="Heading2"/>
      </w:pPr>
      <w:r w:rsidRPr="00D70BFB">
        <w:lastRenderedPageBreak/>
        <w:t>Why green wedges are important</w:t>
      </w:r>
    </w:p>
    <w:p w:rsidR="00D70BFB" w:rsidRDefault="00D70BFB" w:rsidP="00D70BFB">
      <w:r w:rsidRPr="00D70BFB">
        <w:t>The Planning and Environment (Metropolitan Green Wedge Protection) Act</w:t>
      </w:r>
      <w:r>
        <w:t xml:space="preserve"> </w:t>
      </w:r>
      <w:r w:rsidRPr="00D70BFB">
        <w:t>2003 provides protection for metropolitan green wedge land by establishing</w:t>
      </w:r>
      <w:r>
        <w:t xml:space="preserve"> </w:t>
      </w:r>
      <w:r w:rsidRPr="00D70BFB">
        <w:t>additional procedures for planning scheme amendments affecting that land. 1</w:t>
      </w:r>
      <w:r>
        <w:t xml:space="preserve"> </w:t>
      </w:r>
    </w:p>
    <w:p w:rsidR="00D70BFB" w:rsidRPr="00D70BFB" w:rsidRDefault="00D70BFB" w:rsidP="00D70BFB">
      <w:r w:rsidRPr="00D70BFB">
        <w:t>The following broad purposes apply to all green wedges.</w:t>
      </w:r>
    </w:p>
    <w:p w:rsidR="00D70BFB" w:rsidRPr="00D70BFB" w:rsidRDefault="00D70BFB" w:rsidP="00D70BFB">
      <w:pPr>
        <w:rPr>
          <w:b/>
        </w:rPr>
      </w:pPr>
      <w:r w:rsidRPr="00D70BFB">
        <w:rPr>
          <w:b/>
        </w:rPr>
        <w:t>Economic</w:t>
      </w:r>
    </w:p>
    <w:p w:rsidR="00D70BFB" w:rsidRPr="00D70BFB" w:rsidRDefault="00D70BFB" w:rsidP="00D70BFB">
      <w:pPr>
        <w:pStyle w:val="ListBullet"/>
      </w:pPr>
      <w:r w:rsidRPr="00D70BFB">
        <w:t>Provide opportunities for special use</w:t>
      </w:r>
      <w:r>
        <w:t xml:space="preserve">s including airfields, sewerage </w:t>
      </w:r>
      <w:r w:rsidRPr="00D70BFB">
        <w:t>works and other infrastructure that supports urban areas.</w:t>
      </w:r>
    </w:p>
    <w:p w:rsidR="00D70BFB" w:rsidRPr="00D70BFB" w:rsidRDefault="00D70BFB" w:rsidP="00D70BFB">
      <w:pPr>
        <w:pStyle w:val="ListBullet"/>
      </w:pPr>
      <w:r w:rsidRPr="00D70BFB">
        <w:t>Safeguard the opportunity for productive agricultural uses.</w:t>
      </w:r>
    </w:p>
    <w:p w:rsidR="00D70BFB" w:rsidRPr="00D70BFB" w:rsidRDefault="00D70BFB" w:rsidP="00D70BFB">
      <w:pPr>
        <w:pStyle w:val="ListBullet"/>
      </w:pPr>
      <w:r w:rsidRPr="00D70BFB">
        <w:t>Provide for tourism and other busi</w:t>
      </w:r>
      <w:r>
        <w:t xml:space="preserve">nesses based on the natural and </w:t>
      </w:r>
      <w:r w:rsidRPr="00D70BFB">
        <w:t>cultural heritage of the region.</w:t>
      </w:r>
    </w:p>
    <w:p w:rsidR="00D70BFB" w:rsidRPr="00D70BFB" w:rsidRDefault="00D70BFB" w:rsidP="00D70BFB">
      <w:pPr>
        <w:pStyle w:val="ListBullet"/>
      </w:pPr>
      <w:r w:rsidRPr="00D70BFB">
        <w:t>Protect and conserve the opportunity</w:t>
      </w:r>
      <w:r>
        <w:t xml:space="preserve"> to use non-renewable resources </w:t>
      </w:r>
      <w:r w:rsidRPr="00D70BFB">
        <w:t>such as sand and stone.</w:t>
      </w:r>
    </w:p>
    <w:p w:rsidR="00D70BFB" w:rsidRPr="00D70BFB" w:rsidRDefault="00D70BFB" w:rsidP="00D70BFB">
      <w:pPr>
        <w:pStyle w:val="ListBullet"/>
      </w:pPr>
      <w:r w:rsidRPr="00D70BFB">
        <w:t>Encourage the development of a more compact city.</w:t>
      </w:r>
    </w:p>
    <w:p w:rsidR="00D70BFB" w:rsidRPr="00D70BFB" w:rsidRDefault="00D70BFB" w:rsidP="00D70BFB">
      <w:pPr>
        <w:rPr>
          <w:b/>
        </w:rPr>
      </w:pPr>
      <w:r w:rsidRPr="00D70BFB">
        <w:rPr>
          <w:b/>
        </w:rPr>
        <w:t>Social</w:t>
      </w:r>
    </w:p>
    <w:p w:rsidR="00D70BFB" w:rsidRPr="00D70BFB" w:rsidRDefault="00D70BFB" w:rsidP="00D70BFB">
      <w:r w:rsidRPr="00D70BFB">
        <w:t>Preserve the enriching and cultural</w:t>
      </w:r>
      <w:r>
        <w:t xml:space="preserve"> significance of open rural and </w:t>
      </w:r>
      <w:r w:rsidRPr="00D70BFB">
        <w:t>scenic landscapes, green spaces and non-urban land.</w:t>
      </w:r>
    </w:p>
    <w:p w:rsidR="00D70BFB" w:rsidRPr="00D70BFB" w:rsidRDefault="00D70BFB" w:rsidP="00D70BFB">
      <w:r w:rsidRPr="00D70BFB">
        <w:t>Provide recreation development opportunities.</w:t>
      </w:r>
    </w:p>
    <w:p w:rsidR="00D70BFB" w:rsidRPr="00D70BFB" w:rsidRDefault="00D70BFB" w:rsidP="00D70BFB">
      <w:r w:rsidRPr="00D70BFB">
        <w:t>Provide a physically separate identity</w:t>
      </w:r>
      <w:r>
        <w:t xml:space="preserve"> for towns and communities near </w:t>
      </w:r>
      <w:r w:rsidRPr="00D70BFB">
        <w:t>the metropolitan boundary.</w:t>
      </w:r>
    </w:p>
    <w:p w:rsidR="00D70BFB" w:rsidRPr="00D70BFB" w:rsidRDefault="00D70BFB" w:rsidP="00D70BFB">
      <w:pPr>
        <w:rPr>
          <w:b/>
        </w:rPr>
      </w:pPr>
      <w:r w:rsidRPr="00D70BFB">
        <w:rPr>
          <w:b/>
        </w:rPr>
        <w:t>Environmental</w:t>
      </w:r>
    </w:p>
    <w:p w:rsidR="00D70BFB" w:rsidRPr="00D70BFB" w:rsidRDefault="00D70BFB" w:rsidP="00D70BFB">
      <w:r w:rsidRPr="00D70BFB">
        <w:t>Protect natural areas that con</w:t>
      </w:r>
      <w:r>
        <w:t xml:space="preserve">tribute to biodiversity and the </w:t>
      </w:r>
      <w:r w:rsidRPr="00D70BFB">
        <w:t>environmental health of the city.</w:t>
      </w:r>
    </w:p>
    <w:p w:rsidR="00D70BFB" w:rsidRPr="00D70BFB" w:rsidRDefault="00D70BFB" w:rsidP="00D70BFB">
      <w:r w:rsidRPr="00D70BFB">
        <w:t>Provide opportunities for developing a networ</w:t>
      </w:r>
      <w:r>
        <w:t xml:space="preserve">k of parks and open </w:t>
      </w:r>
      <w:r w:rsidRPr="00D70BFB">
        <w:t>spaces based on the natural and cultural heritage of the region.</w:t>
      </w:r>
    </w:p>
    <w:p w:rsidR="00D70BFB" w:rsidRPr="00D70BFB" w:rsidRDefault="00D70BFB" w:rsidP="00D70BFB">
      <w:r w:rsidRPr="00D70BFB">
        <w:t>For a more detailed overview of green wedges and their history please see</w:t>
      </w:r>
    </w:p>
    <w:p w:rsidR="00D70BFB" w:rsidRDefault="00D70BFB" w:rsidP="00D70BFB">
      <w:r w:rsidRPr="00D70BFB">
        <w:t>Appendix 1 and the Melbourne 2030 website at:</w:t>
      </w:r>
      <w:r w:rsidR="00FF5263">
        <w:t xml:space="preserve"> </w:t>
      </w:r>
      <w:hyperlink r:id="rId10" w:history="1">
        <w:r w:rsidRPr="00FF5263">
          <w:rPr>
            <w:rStyle w:val="Hyperlink"/>
            <w:color w:val="000000"/>
          </w:rPr>
          <w:t>http://www.dse.vic.gov.au/melbourne2030online/content/implementation_plans/06_green.html.</w:t>
        </w:r>
      </w:hyperlink>
    </w:p>
    <w:p w:rsidR="00FF5263" w:rsidRDefault="00FF5263">
      <w:pPr>
        <w:rPr>
          <w:color w:val="000000"/>
        </w:rPr>
      </w:pPr>
      <w:r>
        <w:rPr>
          <w:color w:val="000000"/>
        </w:rPr>
        <w:br w:type="page"/>
      </w:r>
    </w:p>
    <w:p w:rsidR="00FF5263" w:rsidRPr="00FF5263" w:rsidRDefault="00FF5263" w:rsidP="00FF5263">
      <w:pPr>
        <w:pStyle w:val="Heading1"/>
      </w:pPr>
      <w:r w:rsidRPr="00FF5263">
        <w:lastRenderedPageBreak/>
        <w:t>The Nillumbik Green Wedge</w:t>
      </w:r>
    </w:p>
    <w:p w:rsidR="00FF5263" w:rsidRPr="00FF5263" w:rsidRDefault="00FF5263" w:rsidP="00FF5263">
      <w:r w:rsidRPr="00FF5263">
        <w:t>The Shire of Nillumbik was formed in 1994 with conservation of the green</w:t>
      </w:r>
      <w:r>
        <w:t xml:space="preserve"> </w:t>
      </w:r>
      <w:r w:rsidRPr="00FF5263">
        <w:t>wedge as its strategic focus. The Nillumbik Green Wedge is distinguished</w:t>
      </w:r>
      <w:r>
        <w:t xml:space="preserve"> </w:t>
      </w:r>
      <w:r w:rsidRPr="00FF5263">
        <w:t>from others by the quality of its environment and natural bushland. Above all it</w:t>
      </w:r>
      <w:r>
        <w:t xml:space="preserve"> </w:t>
      </w:r>
      <w:r w:rsidRPr="00FF5263">
        <w:t>is the environmental qualities – the topography, the dense bushland and</w:t>
      </w:r>
      <w:r>
        <w:t xml:space="preserve"> </w:t>
      </w:r>
      <w:r w:rsidRPr="00FF5263">
        <w:t>isolated spaces, the rivers and streams – and the diverse townships that</w:t>
      </w:r>
      <w:r>
        <w:t xml:space="preserve"> </w:t>
      </w:r>
      <w:r w:rsidRPr="00FF5263">
        <w:t>create a sense of place and continue to draw people to settle in Nillumbik.</w:t>
      </w:r>
    </w:p>
    <w:p w:rsidR="00FF5263" w:rsidRPr="00FF5263" w:rsidRDefault="00FF5263" w:rsidP="00FF5263">
      <w:r w:rsidRPr="00FF5263">
        <w:t xml:space="preserve">Melbourne 2030 identifies the Nillumbik </w:t>
      </w:r>
      <w:r>
        <w:t xml:space="preserve">Green Wedge as being of social, </w:t>
      </w:r>
      <w:r w:rsidRPr="00FF5263">
        <w:t>economic and environmental value because of the following features:</w:t>
      </w:r>
    </w:p>
    <w:p w:rsidR="00FF5263" w:rsidRPr="00FF5263" w:rsidRDefault="00FF5263" w:rsidP="00FF5263">
      <w:pPr>
        <w:pStyle w:val="ListBullet"/>
      </w:pPr>
      <w:r w:rsidRPr="00FF5263">
        <w:t>environmental and landscape quality (particularly the Yarra River an</w:t>
      </w:r>
      <w:r>
        <w:t xml:space="preserve">d </w:t>
      </w:r>
      <w:r w:rsidRPr="00FF5263">
        <w:t>surrounds)</w:t>
      </w:r>
    </w:p>
    <w:p w:rsidR="00FF5263" w:rsidRPr="00FF5263" w:rsidRDefault="00FF5263" w:rsidP="00FF5263">
      <w:pPr>
        <w:pStyle w:val="ListBullet"/>
      </w:pPr>
      <w:r w:rsidRPr="00FF5263">
        <w:t>river red gums and other habitat areas</w:t>
      </w:r>
    </w:p>
    <w:p w:rsidR="00FF5263" w:rsidRPr="00FF5263" w:rsidRDefault="00FF5263" w:rsidP="00FF5263">
      <w:pPr>
        <w:pStyle w:val="ListBullet"/>
      </w:pPr>
      <w:r w:rsidRPr="00FF5263">
        <w:t>national parks</w:t>
      </w:r>
    </w:p>
    <w:p w:rsidR="00FF5263" w:rsidRPr="00FF5263" w:rsidRDefault="00FF5263" w:rsidP="00FF5263">
      <w:pPr>
        <w:pStyle w:val="ListBullet"/>
      </w:pPr>
      <w:proofErr w:type="gramStart"/>
      <w:r w:rsidRPr="00FF5263">
        <w:t>metropolitan</w:t>
      </w:r>
      <w:proofErr w:type="gramEnd"/>
      <w:r w:rsidRPr="00FF5263">
        <w:t xml:space="preserve"> water storages.</w:t>
      </w:r>
    </w:p>
    <w:p w:rsidR="00FF5263" w:rsidRPr="00FF5263" w:rsidRDefault="00FF5263" w:rsidP="00FF5263">
      <w:pPr>
        <w:pStyle w:val="Heading2"/>
      </w:pPr>
      <w:r w:rsidRPr="00FF5263">
        <w:t>Location of the Nillumbik Green Wedge</w:t>
      </w:r>
    </w:p>
    <w:p w:rsidR="00FF5263" w:rsidRDefault="00FF5263" w:rsidP="00FF5263">
      <w:r w:rsidRPr="00FF5263">
        <w:t>The Shire of Nillumbik is on Melbourne’s north-east fringe, 25 km from the</w:t>
      </w:r>
      <w:r>
        <w:t xml:space="preserve"> </w:t>
      </w:r>
      <w:r w:rsidRPr="00FF5263">
        <w:t>city’s central business district. The Nillumbik Green Wedge covers 91 per cent</w:t>
      </w:r>
      <w:r>
        <w:t xml:space="preserve"> </w:t>
      </w:r>
      <w:r w:rsidRPr="00FF5263">
        <w:t>of the total shire area. While the whole of Nillumbik is referred to as the</w:t>
      </w:r>
      <w:r>
        <w:t xml:space="preserve"> </w:t>
      </w:r>
      <w:r w:rsidRPr="00FF5263">
        <w:t>‘Green Wedge Shire’, in land use planning terms, green wedge land is defined</w:t>
      </w:r>
      <w:r>
        <w:t xml:space="preserve"> </w:t>
      </w:r>
      <w:r w:rsidRPr="00FF5263">
        <w:t>as being outside the urban growth boundary. The Nillumbik Green Wedge is</w:t>
      </w:r>
      <w:r>
        <w:t xml:space="preserve"> </w:t>
      </w:r>
      <w:r w:rsidRPr="00FF5263">
        <w:t>zoned Rural and is a mixture of Rural Residential (including some land zoned</w:t>
      </w:r>
      <w:r>
        <w:t xml:space="preserve"> </w:t>
      </w:r>
      <w:r w:rsidRPr="00FF5263">
        <w:t>Low Density Residential) and hobby farms (together making up 47 per cent of</w:t>
      </w:r>
      <w:r>
        <w:t xml:space="preserve"> </w:t>
      </w:r>
      <w:r w:rsidRPr="00FF5263">
        <w:t>the green wedge); vacant land (6 per cent); agriculture (20 per cent);</w:t>
      </w:r>
      <w:r>
        <w:t xml:space="preserve"> </w:t>
      </w:r>
      <w:r w:rsidRPr="00FF5263">
        <w:t>conservation areas (20 per cent) and recreation land within the conservation</w:t>
      </w:r>
      <w:r>
        <w:t xml:space="preserve"> </w:t>
      </w:r>
      <w:r w:rsidRPr="00FF5263">
        <w:t>areas (6 per cent). Seventy-nine per cent of Nillumbik Green Wedge land is in</w:t>
      </w:r>
      <w:r>
        <w:t xml:space="preserve"> </w:t>
      </w:r>
      <w:r w:rsidRPr="00FF5263">
        <w:t>private ownership and around 43 per cent of that land has environmental</w:t>
      </w:r>
      <w:r>
        <w:t xml:space="preserve"> </w:t>
      </w:r>
      <w:r w:rsidRPr="00FF5263">
        <w:t>significance (Nillumbik Shire Council 2006).</w:t>
      </w:r>
    </w:p>
    <w:p w:rsidR="00FF5263" w:rsidRDefault="00FF5263" w:rsidP="00FF5263">
      <w:r>
        <w:rPr>
          <w:noProof/>
          <w:lang w:eastAsia="en-AU"/>
        </w:rPr>
        <w:lastRenderedPageBreak/>
        <w:drawing>
          <wp:inline distT="0" distB="0" distL="0" distR="0">
            <wp:extent cx="6120130" cy="8522970"/>
            <wp:effectExtent l="0" t="0" r="0" b="0"/>
            <wp:docPr id="5" name="Picture 5" descr="Nillumbik Green Wedge - Study 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y are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2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263" w:rsidRPr="00FF5263" w:rsidRDefault="00FF5263" w:rsidP="00FF5263">
      <w:pPr>
        <w:pStyle w:val="Heading2"/>
      </w:pPr>
      <w:r w:rsidRPr="00FF5263">
        <w:lastRenderedPageBreak/>
        <w:t>The natural environment</w:t>
      </w:r>
    </w:p>
    <w:p w:rsidR="00FF5263" w:rsidRPr="00FF5263" w:rsidRDefault="00FF5263" w:rsidP="00FF5263">
      <w:r w:rsidRPr="00FF5263">
        <w:t>The information in this section is a summary2, more detailed information can</w:t>
      </w:r>
      <w:r>
        <w:t xml:space="preserve"> </w:t>
      </w:r>
      <w:r w:rsidRPr="00FF5263">
        <w:t>be found in Appendix 2 – natural and cultural values of the Nillumbik Green</w:t>
      </w:r>
      <w:r>
        <w:t xml:space="preserve"> </w:t>
      </w:r>
      <w:r w:rsidRPr="00FF5263">
        <w:t>Wedge.</w:t>
      </w:r>
    </w:p>
    <w:p w:rsidR="00FF5263" w:rsidRPr="00FF5263" w:rsidRDefault="00FF5263" w:rsidP="00FF5263">
      <w:pPr>
        <w:pStyle w:val="Heading3"/>
        <w:numPr>
          <w:ilvl w:val="0"/>
          <w:numId w:val="0"/>
        </w:numPr>
        <w:ind w:left="1077" w:hanging="1077"/>
      </w:pPr>
      <w:r w:rsidRPr="00FF5263">
        <w:t>Geography and geology</w:t>
      </w:r>
    </w:p>
    <w:p w:rsidR="00FF5263" w:rsidRPr="00FF5263" w:rsidRDefault="00FF5263" w:rsidP="00FF5263">
      <w:r w:rsidRPr="00FF5263">
        <w:t>Framed by the Great Dividing Range to the north and by the Yarra River on</w:t>
      </w:r>
      <w:r>
        <w:t xml:space="preserve"> </w:t>
      </w:r>
      <w:r w:rsidRPr="00FF5263">
        <w:t>the south, early European settlers called the central part of the region ‘The</w:t>
      </w:r>
      <w:r>
        <w:t xml:space="preserve"> </w:t>
      </w:r>
      <w:r w:rsidRPr="00FF5263">
        <w:t>Plenty Hills’. The geographic essence of Nillumbik Green Wedge country is</w:t>
      </w:r>
      <w:r>
        <w:t xml:space="preserve"> </w:t>
      </w:r>
      <w:r w:rsidRPr="00FF5263">
        <w:t>characterised by steep ridges and gently sloping hills enclosing plains and</w:t>
      </w:r>
      <w:r>
        <w:t xml:space="preserve"> </w:t>
      </w:r>
      <w:r w:rsidRPr="00FF5263">
        <w:t>flats. The south is dominated by lowland hills and alluvial plains with ridgelines</w:t>
      </w:r>
      <w:r>
        <w:t xml:space="preserve"> </w:t>
      </w:r>
      <w:r w:rsidRPr="00FF5263">
        <w:t>less than 200 metres in height. Further north, the country is steeper and</w:t>
      </w:r>
      <w:r>
        <w:t xml:space="preserve"> </w:t>
      </w:r>
      <w:r w:rsidRPr="00FF5263">
        <w:t>comprises upland hills with ridgelines of over 200 metres. The shire's northern</w:t>
      </w:r>
      <w:r>
        <w:t xml:space="preserve"> </w:t>
      </w:r>
      <w:r w:rsidRPr="00FF5263">
        <w:t>boundary is framed by the mountains of the Kinglake Ranges with elevations</w:t>
      </w:r>
      <w:r>
        <w:t xml:space="preserve"> </w:t>
      </w:r>
      <w:r w:rsidRPr="00FF5263">
        <w:t>typically over 400 metres.</w:t>
      </w:r>
    </w:p>
    <w:p w:rsidR="00FF5263" w:rsidRPr="00FF5263" w:rsidRDefault="00FF5263" w:rsidP="00FF5263">
      <w:r w:rsidRPr="00FF5263">
        <w:t>The Aboriginal (</w:t>
      </w:r>
      <w:proofErr w:type="spellStart"/>
      <w:r w:rsidRPr="00FF5263">
        <w:t>Wurundjeri</w:t>
      </w:r>
      <w:proofErr w:type="spellEnd"/>
      <w:r w:rsidRPr="00FF5263">
        <w:t>) name of ‘Nillumbik’ means ‘shallow earth’.</w:t>
      </w:r>
      <w:r>
        <w:t xml:space="preserve"> </w:t>
      </w:r>
      <w:r w:rsidRPr="00FF5263">
        <w:t>Remnants of open grassy woodland, with relatively shallow soils dominated</w:t>
      </w:r>
      <w:r>
        <w:t xml:space="preserve"> </w:t>
      </w:r>
      <w:r w:rsidRPr="00FF5263">
        <w:t>by long-leafed and red box eucalypts and occasional stands of ironbark, still</w:t>
      </w:r>
      <w:r>
        <w:t xml:space="preserve"> </w:t>
      </w:r>
      <w:r w:rsidRPr="00FF5263">
        <w:t>remain on the hillsides, ridge tops and along the creeks. In fact wherever the</w:t>
      </w:r>
      <w:r>
        <w:t xml:space="preserve"> </w:t>
      </w:r>
      <w:r w:rsidRPr="00FF5263">
        <w:t>land has not been cleared there are reminders of the original landscape and</w:t>
      </w:r>
      <w:r>
        <w:t xml:space="preserve"> </w:t>
      </w:r>
      <w:r w:rsidRPr="00FF5263">
        <w:t>its origins, which distinguish this very special area.</w:t>
      </w:r>
    </w:p>
    <w:p w:rsidR="00FF5263" w:rsidRPr="00FF5263" w:rsidRDefault="00FF5263" w:rsidP="00FF5263">
      <w:r w:rsidRPr="00FF5263">
        <w:t>Both the landforms and the soils had their origin in sediments deposited in</w:t>
      </w:r>
      <w:r>
        <w:t xml:space="preserve"> </w:t>
      </w:r>
      <w:r w:rsidRPr="00FF5263">
        <w:t>shallow seas during the Silurian period over 400 million years ago.</w:t>
      </w:r>
      <w:r>
        <w:t xml:space="preserve"> </w:t>
      </w:r>
      <w:r w:rsidRPr="00FF5263">
        <w:t>Successive uplift, folding and erosion have not greatly altered the Silurian</w:t>
      </w:r>
      <w:r>
        <w:t xml:space="preserve"> </w:t>
      </w:r>
      <w:r w:rsidRPr="00FF5263">
        <w:t>legacy of mudstones, siltstones and sandstones which are the basis of the</w:t>
      </w:r>
      <w:r>
        <w:t xml:space="preserve"> </w:t>
      </w:r>
      <w:r w:rsidRPr="00FF5263">
        <w:t>generally clayey and silty soils. The fertile soils of an old volcano at Kangaroo</w:t>
      </w:r>
      <w:r>
        <w:t xml:space="preserve"> </w:t>
      </w:r>
      <w:r w:rsidRPr="00FF5263">
        <w:t>Ground provide a stark contrast and farming and clearing there was</w:t>
      </w:r>
      <w:r>
        <w:t xml:space="preserve"> </w:t>
      </w:r>
      <w:r w:rsidRPr="00FF5263">
        <w:t>widespread.</w:t>
      </w:r>
    </w:p>
    <w:p w:rsidR="00FF5263" w:rsidRPr="00FF5263" w:rsidRDefault="00FF5263" w:rsidP="00FF5263">
      <w:r w:rsidRPr="00FF5263">
        <w:t>The landscape is still evolving but it is the combination of natural and</w:t>
      </w:r>
      <w:r>
        <w:t xml:space="preserve"> </w:t>
      </w:r>
      <w:r w:rsidRPr="00FF5263">
        <w:t>manmade elements which have given its scenery a distinctive character.</w:t>
      </w:r>
    </w:p>
    <w:p w:rsidR="00FF5263" w:rsidRPr="00FF5263" w:rsidRDefault="00FF5263" w:rsidP="00FF5263">
      <w:pPr>
        <w:pStyle w:val="Heading3"/>
        <w:numPr>
          <w:ilvl w:val="0"/>
          <w:numId w:val="0"/>
        </w:numPr>
        <w:ind w:left="1077" w:hanging="1077"/>
      </w:pPr>
      <w:r w:rsidRPr="00FF5263">
        <w:t>High conservation value</w:t>
      </w:r>
    </w:p>
    <w:p w:rsidR="00FF5263" w:rsidRPr="00FF5263" w:rsidRDefault="00FF5263" w:rsidP="00FF5263">
      <w:r w:rsidRPr="00FF5263">
        <w:t>Much of the shire’s native vegetation was cleared by European settlers for</w:t>
      </w:r>
      <w:r>
        <w:t xml:space="preserve"> </w:t>
      </w:r>
      <w:r w:rsidRPr="00FF5263">
        <w:t>agriculture, particularly around Kangaroo Ground, Arthurs Creek and Doreen.</w:t>
      </w:r>
      <w:r>
        <w:t xml:space="preserve"> </w:t>
      </w:r>
      <w:r w:rsidRPr="00FF5263">
        <w:t>However, Nillumbik retains large areas of native vegetation on both public and</w:t>
      </w:r>
      <w:r>
        <w:t xml:space="preserve"> </w:t>
      </w:r>
      <w:r w:rsidRPr="00FF5263">
        <w:t>private land, particularly in the north and east of the shire.</w:t>
      </w:r>
    </w:p>
    <w:p w:rsidR="00FF5263" w:rsidRPr="00FF5263" w:rsidRDefault="00FF5263" w:rsidP="00FF5263">
      <w:r w:rsidRPr="00FF5263">
        <w:t>A comprehensive study of the biodiversity</w:t>
      </w:r>
      <w:r>
        <w:t xml:space="preserve"> of Melbourne’s north-east, the </w:t>
      </w:r>
      <w:r w:rsidRPr="00FF5263">
        <w:t>NEROC report (</w:t>
      </w:r>
      <w:proofErr w:type="spellStart"/>
      <w:r w:rsidRPr="00FF5263">
        <w:t>Beardsell</w:t>
      </w:r>
      <w:proofErr w:type="spellEnd"/>
      <w:r w:rsidRPr="00FF5263">
        <w:t xml:space="preserve"> 1997), was conducted between 1986 and 1993. It</w:t>
      </w:r>
      <w:r>
        <w:t xml:space="preserve"> </w:t>
      </w:r>
      <w:r w:rsidRPr="00FF5263">
        <w:t>identified 104 important sites across north-east Melbourne and, of these, 65 are in the Shire of Nillumbik. NEROC identified 15 biodiversity ‘hotspots’ in the</w:t>
      </w:r>
      <w:r>
        <w:t xml:space="preserve"> </w:t>
      </w:r>
      <w:r w:rsidRPr="00FF5263">
        <w:t>Nillumbik Green Wedge, seven of these are classified as 3ecological</w:t>
      </w:r>
      <w:r>
        <w:t xml:space="preserve"> </w:t>
      </w:r>
      <w:r w:rsidRPr="00FF5263">
        <w:t>reference areas and the remaining eight as 4critical conservation areas. The</w:t>
      </w:r>
      <w:r>
        <w:t xml:space="preserve"> </w:t>
      </w:r>
      <w:r w:rsidRPr="00FF5263">
        <w:t>report also identified three sites of national significance for their fauna:</w:t>
      </w:r>
      <w:r>
        <w:t xml:space="preserve"> </w:t>
      </w:r>
      <w:r w:rsidRPr="00FF5263">
        <w:t>Yarrambat Morang wetland, Plenty-</w:t>
      </w:r>
      <w:proofErr w:type="spellStart"/>
      <w:r w:rsidRPr="00FF5263">
        <w:t>Janef</w:t>
      </w:r>
      <w:r>
        <w:t>ield</w:t>
      </w:r>
      <w:proofErr w:type="spellEnd"/>
      <w:r>
        <w:t xml:space="preserve">, Diamond Creek headwaters. </w:t>
      </w:r>
      <w:r w:rsidRPr="00FF5263">
        <w:t xml:space="preserve">The Department of Sustainability and Environment lists 72 </w:t>
      </w:r>
      <w:proofErr w:type="spellStart"/>
      <w:r w:rsidRPr="00FF5263">
        <w:t>biosites</w:t>
      </w:r>
      <w:proofErr w:type="spellEnd"/>
      <w:r w:rsidRPr="00FF5263">
        <w:t xml:space="preserve"> in the</w:t>
      </w:r>
      <w:r>
        <w:t xml:space="preserve"> </w:t>
      </w:r>
      <w:r w:rsidRPr="00FF5263">
        <w:t>Nillumbik Green Wedge. Ten are of state significance and 29 of regional</w:t>
      </w:r>
      <w:r>
        <w:t xml:space="preserve"> </w:t>
      </w:r>
      <w:r w:rsidRPr="00FF5263">
        <w:t>significance.</w:t>
      </w:r>
    </w:p>
    <w:p w:rsidR="00FF5263" w:rsidRPr="00FF5263" w:rsidRDefault="00FF5263" w:rsidP="00FF5263">
      <w:r w:rsidRPr="00FF5263">
        <w:lastRenderedPageBreak/>
        <w:t>Areas of intact native flora provide a high level of significant habitat and</w:t>
      </w:r>
      <w:r>
        <w:t xml:space="preserve"> </w:t>
      </w:r>
      <w:r w:rsidRPr="00FF5263">
        <w:t>support a wide range of native animals. Extensive areas of the Nillumbik</w:t>
      </w:r>
      <w:r>
        <w:t xml:space="preserve"> </w:t>
      </w:r>
      <w:r w:rsidRPr="00FF5263">
        <w:t>Green Wedge are of habitat or faunal importance and 61 per cent of the</w:t>
      </w:r>
      <w:r>
        <w:t xml:space="preserve"> </w:t>
      </w:r>
      <w:r w:rsidRPr="00FF5263">
        <w:t>Nillumbik Green Wedge is covered by the Environmental Significance Overlay</w:t>
      </w:r>
      <w:r>
        <w:t xml:space="preserve"> </w:t>
      </w:r>
      <w:r w:rsidRPr="00FF5263">
        <w:t>to protect these values.</w:t>
      </w:r>
    </w:p>
    <w:p w:rsidR="00FF5263" w:rsidRPr="00FF5263" w:rsidRDefault="00FF5263" w:rsidP="00FF5263">
      <w:r w:rsidRPr="00FF5263">
        <w:t>The Nillumbik Green Wedge is host to a number of state and national parks</w:t>
      </w:r>
      <w:r>
        <w:t xml:space="preserve"> </w:t>
      </w:r>
      <w:r w:rsidRPr="00FF5263">
        <w:t>and Nillumbik Shire Council also manages a number of important</w:t>
      </w:r>
      <w:r>
        <w:t xml:space="preserve"> </w:t>
      </w:r>
      <w:r w:rsidRPr="00FF5263">
        <w:t>environmental reserves.</w:t>
      </w:r>
    </w:p>
    <w:p w:rsidR="00FF5263" w:rsidRPr="00FF5263" w:rsidRDefault="00FF5263" w:rsidP="00FF5263">
      <w:pPr>
        <w:pStyle w:val="Heading3"/>
        <w:numPr>
          <w:ilvl w:val="0"/>
          <w:numId w:val="0"/>
        </w:numPr>
        <w:ind w:left="1077" w:hanging="1077"/>
      </w:pPr>
      <w:r w:rsidRPr="00FF5263">
        <w:t>Waterways and water catchment</w:t>
      </w:r>
    </w:p>
    <w:p w:rsidR="00FF5263" w:rsidRPr="00FF5263" w:rsidRDefault="00FF5263" w:rsidP="00FF5263">
      <w:r w:rsidRPr="00FF5263">
        <w:t>The Nillumbik Green Wedge is in the catchment of the Yarra River and is</w:t>
      </w:r>
      <w:r>
        <w:t xml:space="preserve"> </w:t>
      </w:r>
      <w:r w:rsidRPr="00FF5263">
        <w:t>bordered by the Plenty River in the west and the Yarra River in the south and</w:t>
      </w:r>
      <w:r>
        <w:t xml:space="preserve"> </w:t>
      </w:r>
      <w:r w:rsidRPr="00FF5263">
        <w:t>south-east. Three major creeks run through the Nillumbik Green Wedge:</w:t>
      </w:r>
      <w:r>
        <w:t xml:space="preserve"> </w:t>
      </w:r>
      <w:r w:rsidRPr="00FF5263">
        <w:t>Diamond Creek, Watsons Creek and Arthurs Creek. The Nillumbik Green</w:t>
      </w:r>
      <w:r>
        <w:t xml:space="preserve"> </w:t>
      </w:r>
      <w:r w:rsidRPr="00FF5263">
        <w:t>Wedge contains significant natural wetlands such as those along the Yarra</w:t>
      </w:r>
      <w:r>
        <w:t xml:space="preserve"> </w:t>
      </w:r>
      <w:r w:rsidRPr="00FF5263">
        <w:t>River in the south-east and Running Creek Reservoir to the north of Arthurs</w:t>
      </w:r>
      <w:r>
        <w:t xml:space="preserve"> </w:t>
      </w:r>
      <w:r w:rsidRPr="00FF5263">
        <w:t>Creek.</w:t>
      </w:r>
    </w:p>
    <w:p w:rsidR="00FF5263" w:rsidRPr="00FF5263" w:rsidRDefault="00FF5263" w:rsidP="00FF5263">
      <w:r w:rsidRPr="00FF5263">
        <w:t>Apart from natural waterways, the Nillumbik Green Wedge is the location for</w:t>
      </w:r>
      <w:r>
        <w:t xml:space="preserve"> </w:t>
      </w:r>
      <w:r w:rsidRPr="00FF5263">
        <w:t>key parts of Melbourne’s infrastructure for potable water storage.</w:t>
      </w:r>
    </w:p>
    <w:p w:rsidR="00FF5263" w:rsidRPr="00FF5263" w:rsidRDefault="00FF5263" w:rsidP="00FF5263">
      <w:pPr>
        <w:pStyle w:val="Heading3"/>
        <w:numPr>
          <w:ilvl w:val="0"/>
          <w:numId w:val="0"/>
        </w:numPr>
        <w:ind w:left="1077" w:hanging="1077"/>
      </w:pPr>
      <w:r w:rsidRPr="00FF5263">
        <w:t>Bushfire</w:t>
      </w:r>
    </w:p>
    <w:p w:rsidR="00FF5263" w:rsidRDefault="00FF5263" w:rsidP="00FF5263">
      <w:r w:rsidRPr="00FF5263">
        <w:t>Serious bushfire is a threat in the Shire of Nillumbik because of the vegetation</w:t>
      </w:r>
      <w:r>
        <w:t xml:space="preserve"> </w:t>
      </w:r>
      <w:r w:rsidRPr="00FF5263">
        <w:t>cover, orientation of steep, sloping land and prevailing wind. In February 2009</w:t>
      </w:r>
      <w:r>
        <w:t xml:space="preserve"> </w:t>
      </w:r>
      <w:proofErr w:type="spellStart"/>
      <w:r w:rsidRPr="00FF5263">
        <w:t>Strathewen</w:t>
      </w:r>
      <w:proofErr w:type="spellEnd"/>
      <w:r w:rsidRPr="00FF5263">
        <w:t>, St Andrews and Christmas Hills were severely affected by</w:t>
      </w:r>
      <w:r>
        <w:t xml:space="preserve"> </w:t>
      </w:r>
      <w:r w:rsidRPr="00FF5263">
        <w:t xml:space="preserve">bushfire with significant loss of life and property. Major </w:t>
      </w:r>
      <w:proofErr w:type="gramStart"/>
      <w:r w:rsidRPr="00FF5263">
        <w:t>bushfires</w:t>
      </w:r>
      <w:proofErr w:type="gramEnd"/>
      <w:r w:rsidRPr="00FF5263">
        <w:t xml:space="preserve"> also affected</w:t>
      </w:r>
      <w:r>
        <w:t xml:space="preserve"> </w:t>
      </w:r>
      <w:r w:rsidRPr="00FF5263">
        <w:t>parts of the shire in 1939, 1962, 1969, 1981 and 1991. In 2006 bushfires in</w:t>
      </w:r>
      <w:r>
        <w:t xml:space="preserve"> </w:t>
      </w:r>
      <w:r w:rsidRPr="00FF5263">
        <w:t>Kinglake National Park threatened towns to the South of the Kinglake Ranges</w:t>
      </w:r>
      <w:r>
        <w:t xml:space="preserve"> </w:t>
      </w:r>
      <w:r w:rsidRPr="00FF5263">
        <w:t xml:space="preserve">and were brought under control only after it rained. </w:t>
      </w:r>
      <w:proofErr w:type="gramStart"/>
      <w:r w:rsidRPr="00FF5263">
        <w:t>(Johns, D 2006).</w:t>
      </w:r>
      <w:proofErr w:type="gramEnd"/>
    </w:p>
    <w:p w:rsidR="00FF5263" w:rsidRPr="00FF5263" w:rsidRDefault="00FF5263" w:rsidP="00FF5263">
      <w:pPr>
        <w:pStyle w:val="Heading2"/>
      </w:pPr>
      <w:r w:rsidRPr="00FF5263">
        <w:t>People and cultural heritage</w:t>
      </w:r>
    </w:p>
    <w:p w:rsidR="00FF5263" w:rsidRPr="00FF5263" w:rsidRDefault="00FF5263" w:rsidP="00FF5263">
      <w:r w:rsidRPr="00FF5263">
        <w:t>This section outlines human influences on the landscape, the physical</w:t>
      </w:r>
      <w:r>
        <w:t xml:space="preserve"> </w:t>
      </w:r>
      <w:r w:rsidRPr="00FF5263">
        <w:t>evidence left behind and the traditions that endure. More information can be</w:t>
      </w:r>
      <w:r>
        <w:t xml:space="preserve"> </w:t>
      </w:r>
      <w:r w:rsidRPr="00FF5263">
        <w:t>found in the cultural heritage section of Appendix 2.</w:t>
      </w:r>
    </w:p>
    <w:p w:rsidR="00FF5263" w:rsidRPr="00FF5263" w:rsidRDefault="00FF5263" w:rsidP="00FF5263">
      <w:r w:rsidRPr="00FF5263">
        <w:t>When the first European settlers arrived in this area the most attractive</w:t>
      </w:r>
      <w:r>
        <w:t xml:space="preserve"> </w:t>
      </w:r>
      <w:r w:rsidRPr="00FF5263">
        <w:t>features to their eyes were its proximity to Melbourne, the ease with which the</w:t>
      </w:r>
      <w:r>
        <w:t xml:space="preserve"> </w:t>
      </w:r>
      <w:r w:rsidRPr="00FF5263">
        <w:t>land could be cleared for activities such as dairy farming and orchards and the</w:t>
      </w:r>
      <w:r>
        <w:t xml:space="preserve"> </w:t>
      </w:r>
      <w:r w:rsidRPr="00FF5263">
        <w:t>discovery of gold at a number of sites.</w:t>
      </w:r>
    </w:p>
    <w:p w:rsidR="00FF5263" w:rsidRPr="00FF5263" w:rsidRDefault="00FF5263" w:rsidP="00FF5263">
      <w:r w:rsidRPr="00FF5263">
        <w:t>Over time, improved transport led to the development of more productive</w:t>
      </w:r>
      <w:r>
        <w:t xml:space="preserve"> </w:t>
      </w:r>
      <w:r w:rsidRPr="00FF5263">
        <w:t>agricultural areas further away from Melbourne and Nillumbik found new</w:t>
      </w:r>
      <w:r>
        <w:t xml:space="preserve"> </w:t>
      </w:r>
      <w:r w:rsidRPr="00FF5263">
        <w:t>business opportunities such as grape growing and providing for visitors.</w:t>
      </w:r>
    </w:p>
    <w:p w:rsidR="00FF5263" w:rsidRPr="00FF5263" w:rsidRDefault="00FF5263" w:rsidP="00FF5263">
      <w:pPr>
        <w:pStyle w:val="Heading3"/>
        <w:numPr>
          <w:ilvl w:val="0"/>
          <w:numId w:val="0"/>
        </w:numPr>
        <w:ind w:left="1077" w:hanging="1077"/>
      </w:pPr>
      <w:r w:rsidRPr="00FF5263">
        <w:t>Aboriginal owners</w:t>
      </w:r>
    </w:p>
    <w:p w:rsidR="00FF5263" w:rsidRPr="00FF5263" w:rsidRDefault="00FF5263" w:rsidP="00FF5263">
      <w:r w:rsidRPr="00FF5263">
        <w:t xml:space="preserve">The area called the Shire of Nillumbik is the traditional land of the </w:t>
      </w:r>
      <w:proofErr w:type="spellStart"/>
      <w:r w:rsidRPr="00FF5263">
        <w:t>Wurundjeriwillam</w:t>
      </w:r>
      <w:proofErr w:type="spellEnd"/>
      <w:r>
        <w:t xml:space="preserve"> </w:t>
      </w:r>
      <w:r w:rsidRPr="00FF5263">
        <w:t xml:space="preserve">clan of the </w:t>
      </w:r>
      <w:proofErr w:type="spellStart"/>
      <w:r w:rsidRPr="00FF5263">
        <w:t>Woiwurrung</w:t>
      </w:r>
      <w:proofErr w:type="spellEnd"/>
      <w:r w:rsidRPr="00FF5263">
        <w:t xml:space="preserve"> speaking people. A number of archaeological</w:t>
      </w:r>
      <w:r>
        <w:t xml:space="preserve"> </w:t>
      </w:r>
      <w:r w:rsidRPr="00FF5263">
        <w:t>sites attest to Aboriginal presence within the shire including scarred trees and</w:t>
      </w:r>
      <w:r>
        <w:t xml:space="preserve"> </w:t>
      </w:r>
      <w:r w:rsidRPr="00FF5263">
        <w:t>artefact scatters.</w:t>
      </w:r>
    </w:p>
    <w:p w:rsidR="00FF5263" w:rsidRPr="00FF5263" w:rsidRDefault="00FF5263" w:rsidP="00FF5263">
      <w:r w:rsidRPr="00FF5263">
        <w:lastRenderedPageBreak/>
        <w:t xml:space="preserve">Nillumbik Shire Council acknowledges the </w:t>
      </w:r>
      <w:proofErr w:type="spellStart"/>
      <w:r w:rsidRPr="00FF5263">
        <w:t>Wurundjeri</w:t>
      </w:r>
      <w:proofErr w:type="spellEnd"/>
      <w:r w:rsidRPr="00FF5263">
        <w:t xml:space="preserve"> as the traditional</w:t>
      </w:r>
      <w:r>
        <w:t xml:space="preserve"> </w:t>
      </w:r>
      <w:r w:rsidRPr="00FF5263">
        <w:t>custodians of the land now known as the Shire of Nillumbik and values the</w:t>
      </w:r>
      <w:r>
        <w:t xml:space="preserve"> </w:t>
      </w:r>
      <w:proofErr w:type="spellStart"/>
      <w:r w:rsidRPr="00FF5263">
        <w:t>Wurundjeri</w:t>
      </w:r>
      <w:proofErr w:type="spellEnd"/>
      <w:r w:rsidRPr="00FF5263">
        <w:t xml:space="preserve"> people’s history as essential to the unique character of the shire.</w:t>
      </w:r>
    </w:p>
    <w:p w:rsidR="00FF5263" w:rsidRPr="00FF5263" w:rsidRDefault="00FF5263" w:rsidP="00FF5263">
      <w:pPr>
        <w:pStyle w:val="Heading3"/>
        <w:numPr>
          <w:ilvl w:val="0"/>
          <w:numId w:val="0"/>
        </w:numPr>
        <w:ind w:left="1077" w:hanging="1077"/>
      </w:pPr>
      <w:r w:rsidRPr="00FF5263">
        <w:t>Pastoral leases and gold mining</w:t>
      </w:r>
    </w:p>
    <w:p w:rsidR="00FF5263" w:rsidRPr="00FF5263" w:rsidRDefault="00FF5263" w:rsidP="00FF5263">
      <w:r w:rsidRPr="00FF5263">
        <w:t>The transformation of the Nillumbik landscape began in the 1830s when the</w:t>
      </w:r>
      <w:r>
        <w:t xml:space="preserve"> </w:t>
      </w:r>
      <w:r w:rsidRPr="00FF5263">
        <w:t>first European settlers arrived to take up pastoral leases across much of the</w:t>
      </w:r>
      <w:r>
        <w:t xml:space="preserve"> </w:t>
      </w:r>
      <w:r w:rsidRPr="00FF5263">
        <w:t xml:space="preserve">shire. Other early settlers included timber cutters, who felled the </w:t>
      </w:r>
      <w:proofErr w:type="spellStart"/>
      <w:r w:rsidRPr="00FF5263">
        <w:t>stringybark</w:t>
      </w:r>
      <w:proofErr w:type="spellEnd"/>
      <w:r>
        <w:t xml:space="preserve"> </w:t>
      </w:r>
      <w:r w:rsidRPr="00FF5263">
        <w:t>forests for use in rapidly developing Melbourne; gold miners; itinerant</w:t>
      </w:r>
      <w:r>
        <w:t xml:space="preserve"> </w:t>
      </w:r>
      <w:r w:rsidRPr="00FF5263">
        <w:t>workers; farm labourers and tenant farmers.</w:t>
      </w:r>
    </w:p>
    <w:p w:rsidR="00FF5263" w:rsidRPr="00FF5263" w:rsidRDefault="00FF5263" w:rsidP="00FF5263">
      <w:r w:rsidRPr="00FF5263">
        <w:t xml:space="preserve">Gold was discovered at Andersons Creek, Warrandyte in 1851, </w:t>
      </w:r>
      <w:proofErr w:type="gramStart"/>
      <w:r w:rsidRPr="00FF5263">
        <w:t>the</w:t>
      </w:r>
      <w:proofErr w:type="gramEnd"/>
      <w:r w:rsidRPr="00FF5263">
        <w:t xml:space="preserve"> first</w:t>
      </w:r>
      <w:r>
        <w:t xml:space="preserve"> </w:t>
      </w:r>
      <w:r w:rsidRPr="00FF5263">
        <w:t>official goldfield in Victoria. The gold rush led to the establishment of</w:t>
      </w:r>
      <w:r>
        <w:t xml:space="preserve"> </w:t>
      </w:r>
      <w:r w:rsidRPr="00FF5263">
        <w:t>townships at Panton Hill, Research, Queenstown (now St Andrews) and</w:t>
      </w:r>
      <w:r>
        <w:t xml:space="preserve"> </w:t>
      </w:r>
      <w:r w:rsidRPr="00FF5263">
        <w:t>Diamond Creek.</w:t>
      </w:r>
    </w:p>
    <w:p w:rsidR="00FF5263" w:rsidRPr="00FF5263" w:rsidRDefault="00FF5263" w:rsidP="00FF5263">
      <w:pPr>
        <w:pStyle w:val="Heading3"/>
        <w:numPr>
          <w:ilvl w:val="0"/>
          <w:numId w:val="0"/>
        </w:numPr>
        <w:ind w:left="1077" w:hanging="1077"/>
      </w:pPr>
      <w:proofErr w:type="spellStart"/>
      <w:r w:rsidRPr="00FF5263">
        <w:t>Orcharding</w:t>
      </w:r>
      <w:proofErr w:type="spellEnd"/>
    </w:p>
    <w:p w:rsidR="00FF5263" w:rsidRPr="00FF5263" w:rsidRDefault="00FF5263" w:rsidP="00FF5263">
      <w:r w:rsidRPr="00FF5263">
        <w:t>The development of a fruit industry in the northern areas of the shire and the</w:t>
      </w:r>
      <w:r>
        <w:t xml:space="preserve"> </w:t>
      </w:r>
      <w:r w:rsidRPr="00FF5263">
        <w:t>arrival of the railway to Eltham and Hurstbridge helped sustain the towns and</w:t>
      </w:r>
      <w:r>
        <w:t xml:space="preserve"> </w:t>
      </w:r>
      <w:r w:rsidRPr="00FF5263">
        <w:t>localities born during the gold rush era.</w:t>
      </w:r>
    </w:p>
    <w:p w:rsidR="00FF5263" w:rsidRPr="00FF5263" w:rsidRDefault="00FF5263" w:rsidP="00FF5263">
      <w:r w:rsidRPr="00FF5263">
        <w:t>By 1900, abundant orchards covered the west of the shire from Diamond</w:t>
      </w:r>
      <w:r>
        <w:t xml:space="preserve"> </w:t>
      </w:r>
      <w:r w:rsidRPr="00FF5263">
        <w:t xml:space="preserve">Creek to </w:t>
      </w:r>
      <w:proofErr w:type="spellStart"/>
      <w:r w:rsidRPr="00FF5263">
        <w:t>Strathewen</w:t>
      </w:r>
      <w:proofErr w:type="spellEnd"/>
      <w:r w:rsidRPr="00FF5263">
        <w:t>. Lemons, apples, plums, pears, peaches, grapes,</w:t>
      </w:r>
      <w:r>
        <w:t xml:space="preserve"> </w:t>
      </w:r>
      <w:r w:rsidRPr="00FF5263">
        <w:t>oranges, persimmons, and more, were exported to other states and overseas.</w:t>
      </w:r>
    </w:p>
    <w:p w:rsidR="00FF5263" w:rsidRPr="00FF5263" w:rsidRDefault="00FF5263" w:rsidP="00FF5263">
      <w:r w:rsidRPr="00FF5263">
        <w:t>After Federation in 1901, World War I (1914–18) and the Great Depression</w:t>
      </w:r>
      <w:r>
        <w:t xml:space="preserve"> </w:t>
      </w:r>
      <w:r w:rsidRPr="00FF5263">
        <w:t>(1929–32) many of the area's orchardists turned to other pursuits such as poultry, selling firewood or supplementing their incomes by working for other</w:t>
      </w:r>
      <w:r>
        <w:t xml:space="preserve"> </w:t>
      </w:r>
      <w:r w:rsidRPr="00FF5263">
        <w:t>landowners. Land was also more profitable for building and was sub-divided.</w:t>
      </w:r>
      <w:r>
        <w:t xml:space="preserve"> </w:t>
      </w:r>
      <w:r w:rsidRPr="00FF5263">
        <w:t>Today, a small number of farms produce crops of apples, pears and grapes</w:t>
      </w:r>
      <w:r>
        <w:t xml:space="preserve"> </w:t>
      </w:r>
      <w:r w:rsidRPr="00FF5263">
        <w:t>(Nillumbik Shire Council 2006, p. 22).</w:t>
      </w:r>
    </w:p>
    <w:p w:rsidR="00FF5263" w:rsidRPr="00FF5263" w:rsidRDefault="00FF5263" w:rsidP="00FF5263">
      <w:pPr>
        <w:pStyle w:val="Heading3"/>
        <w:numPr>
          <w:ilvl w:val="0"/>
          <w:numId w:val="0"/>
        </w:numPr>
        <w:ind w:left="1077" w:hanging="1077"/>
      </w:pPr>
      <w:r w:rsidRPr="00FF5263">
        <w:t>Wine growing</w:t>
      </w:r>
    </w:p>
    <w:p w:rsidR="00FF5263" w:rsidRPr="00FF5263" w:rsidRDefault="00FF5263" w:rsidP="00FF5263">
      <w:r w:rsidRPr="00FF5263">
        <w:t>Wine growing started in the Yarra Valley in 1836 at Yering. Today, the Shire</w:t>
      </w:r>
      <w:r>
        <w:t xml:space="preserve"> </w:t>
      </w:r>
      <w:r w:rsidRPr="00FF5263">
        <w:t>of Nillumbik has a number of vineyards in the north-west corner of the Yarra</w:t>
      </w:r>
      <w:r>
        <w:t xml:space="preserve"> </w:t>
      </w:r>
      <w:r w:rsidRPr="00FF5263">
        <w:t>Valley wine region.</w:t>
      </w:r>
    </w:p>
    <w:p w:rsidR="00FF5263" w:rsidRPr="00FF5263" w:rsidRDefault="00FF5263" w:rsidP="00FF5263">
      <w:pPr>
        <w:pStyle w:val="Heading3"/>
        <w:numPr>
          <w:ilvl w:val="0"/>
          <w:numId w:val="0"/>
        </w:numPr>
        <w:ind w:left="1077" w:hanging="1077"/>
      </w:pPr>
      <w:r w:rsidRPr="00FF5263">
        <w:t>Water supply</w:t>
      </w:r>
    </w:p>
    <w:p w:rsidR="00FF5263" w:rsidRPr="00FF5263" w:rsidRDefault="00FF5263" w:rsidP="00FF5263">
      <w:r w:rsidRPr="00FF5263">
        <w:t>Increasing population, following the gold rushes, created need for a</w:t>
      </w:r>
      <w:r>
        <w:t xml:space="preserve"> </w:t>
      </w:r>
      <w:r w:rsidRPr="00FF5263">
        <w:t>permanent water supply. In the 1870s Yan Yean Reservoir's catchment area</w:t>
      </w:r>
      <w:r>
        <w:t xml:space="preserve"> </w:t>
      </w:r>
      <w:r w:rsidRPr="00FF5263">
        <w:t>was extended and in 1886 work began on a weir on the Watts River near</w:t>
      </w:r>
      <w:r>
        <w:t xml:space="preserve"> </w:t>
      </w:r>
      <w:r w:rsidRPr="00FF5263">
        <w:t>Healesville and on construction of the Maroondah Aqueduct to carry this</w:t>
      </w:r>
      <w:r>
        <w:t xml:space="preserve"> </w:t>
      </w:r>
      <w:r w:rsidRPr="00FF5263">
        <w:t>water 66 kilometres into Melbourne. Creation of the Maroondah Aqueduct had</w:t>
      </w:r>
      <w:r>
        <w:t xml:space="preserve"> </w:t>
      </w:r>
      <w:r w:rsidRPr="00FF5263">
        <w:t>a marked impact on the shire as many of the construction workers’ families</w:t>
      </w:r>
      <w:r>
        <w:t xml:space="preserve"> </w:t>
      </w:r>
      <w:r w:rsidRPr="00FF5263">
        <w:t>settled along its route. Running Creek Reservoir, Hurstbridge, was completed</w:t>
      </w:r>
      <w:r>
        <w:t xml:space="preserve"> </w:t>
      </w:r>
      <w:r w:rsidRPr="00FF5263">
        <w:t>in 1964 and Sugarloaf Reservoir was constructed during the 1970s. It was</w:t>
      </w:r>
      <w:r>
        <w:t xml:space="preserve"> </w:t>
      </w:r>
      <w:r w:rsidRPr="00FF5263">
        <w:t>opened officially in 1980 and serves as a wa</w:t>
      </w:r>
      <w:r>
        <w:t xml:space="preserve">ter storage and treatment plant </w:t>
      </w:r>
      <w:r w:rsidRPr="00FF5263">
        <w:t>supplying Melbourne.</w:t>
      </w:r>
    </w:p>
    <w:p w:rsidR="00FF5263" w:rsidRPr="00FF5263" w:rsidRDefault="00FF5263" w:rsidP="00FF5263">
      <w:pPr>
        <w:pStyle w:val="Heading3"/>
        <w:numPr>
          <w:ilvl w:val="0"/>
          <w:numId w:val="0"/>
        </w:numPr>
        <w:ind w:left="1077" w:hanging="1077"/>
      </w:pPr>
      <w:r w:rsidRPr="00FF5263">
        <w:lastRenderedPageBreak/>
        <w:t>Transport and tourism</w:t>
      </w:r>
    </w:p>
    <w:p w:rsidR="00FF5263" w:rsidRPr="00FF5263" w:rsidRDefault="00FF5263" w:rsidP="00FF5263">
      <w:r w:rsidRPr="00FF5263">
        <w:t>Many of the roads in the shire today are along routes set out by the early</w:t>
      </w:r>
      <w:r>
        <w:t xml:space="preserve"> </w:t>
      </w:r>
      <w:r w:rsidRPr="00FF5263">
        <w:t>settlers. These include tracks laid out by miners and local suppliers of food to</w:t>
      </w:r>
      <w:r>
        <w:t xml:space="preserve"> </w:t>
      </w:r>
      <w:r w:rsidRPr="00FF5263">
        <w:t>the diggings.</w:t>
      </w:r>
    </w:p>
    <w:p w:rsidR="00FF5263" w:rsidRPr="00FF5263" w:rsidRDefault="00FF5263" w:rsidP="00FF5263">
      <w:r w:rsidRPr="00FF5263">
        <w:t>The railway line to Eltham was opened officially in 1902 and was extended</w:t>
      </w:r>
      <w:r>
        <w:t xml:space="preserve"> </w:t>
      </w:r>
      <w:r w:rsidRPr="00FF5263">
        <w:t>through Diamond Creek to Hurstbridge in 1912. It was electrified in 1926.</w:t>
      </w:r>
    </w:p>
    <w:p w:rsidR="00FF5263" w:rsidRPr="00FF5263" w:rsidRDefault="00FF5263" w:rsidP="00FF5263">
      <w:r w:rsidRPr="00FF5263">
        <w:t>Today, cars are the main form of transport within and to and from the Shir</w:t>
      </w:r>
      <w:r>
        <w:t xml:space="preserve">e of </w:t>
      </w:r>
      <w:r w:rsidRPr="00FF5263">
        <w:t>Nillumbik. The shire's residents have the highest number of cars per</w:t>
      </w:r>
      <w:r>
        <w:t xml:space="preserve"> </w:t>
      </w:r>
      <w:r w:rsidRPr="00FF5263">
        <w:t>household in Melbourne (Essential Economics 2008, p, 50).</w:t>
      </w:r>
    </w:p>
    <w:p w:rsidR="00FF5263" w:rsidRPr="00FF5263" w:rsidRDefault="00FF5263" w:rsidP="00FF5263">
      <w:r w:rsidRPr="00FF5263">
        <w:t xml:space="preserve">In the early 20th century easy access by rail </w:t>
      </w:r>
      <w:r>
        <w:t xml:space="preserve">was a boost for tourism, as day </w:t>
      </w:r>
      <w:r w:rsidRPr="00FF5263">
        <w:t>trippers flocked to enjoy the fresh air and rural aspects of the shire. There</w:t>
      </w:r>
      <w:r>
        <w:t xml:space="preserve"> </w:t>
      </w:r>
      <w:r w:rsidRPr="00FF5263">
        <w:t>were a number of guest houses in Christmas Hills from the 1890sfor those</w:t>
      </w:r>
      <w:r>
        <w:t xml:space="preserve"> </w:t>
      </w:r>
      <w:r w:rsidRPr="00FF5263">
        <w:t>wishing to stay more than a day (Butler 1996, p.48).</w:t>
      </w:r>
    </w:p>
    <w:p w:rsidR="00FF5263" w:rsidRDefault="00FF5263" w:rsidP="00FF5263">
      <w:r w:rsidRPr="00FF5263">
        <w:t>Today, tourism is centred on boutique winer</w:t>
      </w:r>
      <w:r>
        <w:t xml:space="preserve">ies, cafes and restaurants, art </w:t>
      </w:r>
      <w:r w:rsidRPr="00FF5263">
        <w:t>galleries and studios, bike riding, bed and breakfasts and on the area’s arts</w:t>
      </w:r>
      <w:r>
        <w:t xml:space="preserve"> </w:t>
      </w:r>
      <w:r w:rsidRPr="00FF5263">
        <w:t>heritage. Scenic open spaces continue to be a drawcard as do attractions</w:t>
      </w:r>
      <w:r>
        <w:t xml:space="preserve"> </w:t>
      </w:r>
      <w:r w:rsidRPr="00FF5263">
        <w:t>such as St Andrews Market and the Hurstbridge Farmers Market, which</w:t>
      </w:r>
      <w:r>
        <w:t xml:space="preserve"> </w:t>
      </w:r>
      <w:r w:rsidRPr="00FF5263">
        <w:t>started in 2009.</w:t>
      </w:r>
    </w:p>
    <w:p w:rsidR="00FF5263" w:rsidRPr="00FF5263" w:rsidRDefault="00FF5263" w:rsidP="00FF5263">
      <w:pPr>
        <w:pStyle w:val="Heading3"/>
        <w:numPr>
          <w:ilvl w:val="0"/>
          <w:numId w:val="0"/>
        </w:numPr>
        <w:ind w:left="1077" w:hanging="1077"/>
      </w:pPr>
      <w:r w:rsidRPr="00FF5263">
        <w:t>A tradition of artists and ‘environmental’ building</w:t>
      </w:r>
    </w:p>
    <w:p w:rsidR="00FF5263" w:rsidRPr="00FF5263" w:rsidRDefault="00FF5263" w:rsidP="00FF5263">
      <w:r w:rsidRPr="00FF5263">
        <w:t>Ever since Walter Withers (1854–1914), a member of the 5Heidelberg School,</w:t>
      </w:r>
      <w:r>
        <w:t xml:space="preserve"> </w:t>
      </w:r>
      <w:r w:rsidRPr="00FF5263">
        <w:t>lived in Eltham, the community has been home and inspiration for a number of</w:t>
      </w:r>
      <w:r>
        <w:t xml:space="preserve"> </w:t>
      </w:r>
      <w:r w:rsidRPr="00FF5263">
        <w:t>Australia's artists and intellectuals.</w:t>
      </w:r>
    </w:p>
    <w:p w:rsidR="00FF5263" w:rsidRPr="00FF5263" w:rsidRDefault="00FF5263" w:rsidP="00FF5263">
      <w:proofErr w:type="spellStart"/>
      <w:r w:rsidRPr="00FF5263">
        <w:t>Montsalvat</w:t>
      </w:r>
      <w:proofErr w:type="spellEnd"/>
      <w:r w:rsidRPr="00FF5263">
        <w:t xml:space="preserve"> artists’ colony is the best known landmark o</w:t>
      </w:r>
      <w:r>
        <w:t xml:space="preserve">f the area's artistic </w:t>
      </w:r>
      <w:r w:rsidRPr="00FF5263">
        <w:t xml:space="preserve">tradition. Clifton Pugh also established </w:t>
      </w:r>
      <w:proofErr w:type="spellStart"/>
      <w:r w:rsidRPr="00FF5263">
        <w:t>Dunmoochin</w:t>
      </w:r>
      <w:proofErr w:type="spellEnd"/>
      <w:r w:rsidRPr="00FF5263">
        <w:t>, an artists’ colony, in the</w:t>
      </w:r>
      <w:r>
        <w:t xml:space="preserve"> </w:t>
      </w:r>
      <w:r w:rsidRPr="00FF5263">
        <w:t xml:space="preserve">late 1950s at Cottles Bridge. </w:t>
      </w:r>
      <w:proofErr w:type="spellStart"/>
      <w:r w:rsidRPr="00FF5263">
        <w:t>Dunmoochin</w:t>
      </w:r>
      <w:proofErr w:type="spellEnd"/>
      <w:r w:rsidRPr="00FF5263">
        <w:t xml:space="preserve"> colony is an eclectic collection of</w:t>
      </w:r>
      <w:r>
        <w:t xml:space="preserve"> </w:t>
      </w:r>
      <w:r w:rsidRPr="00FF5263">
        <w:t>mud brick homes, studios and cottages and still serves as an artist's retreat</w:t>
      </w:r>
      <w:r>
        <w:t xml:space="preserve"> </w:t>
      </w:r>
      <w:r w:rsidRPr="00FF5263">
        <w:t>today.</w:t>
      </w:r>
    </w:p>
    <w:p w:rsidR="00FF5263" w:rsidRPr="00FF5263" w:rsidRDefault="00FF5263" w:rsidP="00FF5263">
      <w:r w:rsidRPr="00FF5263">
        <w:t>Alistair Knox, who designed and built many Eltham houses in his mud brick</w:t>
      </w:r>
      <w:r>
        <w:t xml:space="preserve"> </w:t>
      </w:r>
      <w:r w:rsidRPr="00FF5263">
        <w:t xml:space="preserve">style, was a regular visitor to </w:t>
      </w:r>
      <w:proofErr w:type="spellStart"/>
      <w:r w:rsidRPr="00FF5263">
        <w:t>Montsalvat</w:t>
      </w:r>
      <w:proofErr w:type="spellEnd"/>
      <w:r w:rsidRPr="00FF5263">
        <w:t>. He acknowledged its influence on</w:t>
      </w:r>
      <w:r>
        <w:t xml:space="preserve"> </w:t>
      </w:r>
      <w:r w:rsidRPr="00FF5263">
        <w:t>his environmental building philosophy. Mud brick became the typical Eltham</w:t>
      </w:r>
      <w:r>
        <w:t xml:space="preserve"> </w:t>
      </w:r>
      <w:r w:rsidRPr="00FF5263">
        <w:t>building style in the post-World War II period.</w:t>
      </w:r>
    </w:p>
    <w:p w:rsidR="00FF5263" w:rsidRPr="00FF5263" w:rsidRDefault="00FF5263" w:rsidP="00FF5263">
      <w:r w:rsidRPr="00FF5263">
        <w:t>In the 1970s local artist and environmental ac</w:t>
      </w:r>
      <w:r>
        <w:t xml:space="preserve">tivist Neil Douglas established </w:t>
      </w:r>
      <w:r w:rsidRPr="00FF5263">
        <w:t>an Environmental Living Zone at Bend of Islands. He urged people to</w:t>
      </w:r>
      <w:r>
        <w:t xml:space="preserve"> </w:t>
      </w:r>
      <w:r w:rsidRPr="00FF5263">
        <w:t>conserve their land as bush and to minimise their impacts on it.</w:t>
      </w:r>
    </w:p>
    <w:p w:rsidR="00FF5263" w:rsidRDefault="00FF5263" w:rsidP="00FF5263">
      <w:r w:rsidRPr="00FF5263">
        <w:t xml:space="preserve">Such artists' colonies, the environmental and </w:t>
      </w:r>
      <w:r>
        <w:t xml:space="preserve">intellectual traditions and the </w:t>
      </w:r>
      <w:r w:rsidRPr="00FF5263">
        <w:t>diverse range of festivals, craft markets, galleries and exhibitions, all add to</w:t>
      </w:r>
      <w:r>
        <w:t xml:space="preserve"> </w:t>
      </w:r>
      <w:r w:rsidRPr="00FF5263">
        <w:t>the shire's reputation as a centre for creative pursuits.</w:t>
      </w:r>
    </w:p>
    <w:p w:rsidR="00FF5263" w:rsidRDefault="00FF5263">
      <w:r>
        <w:br w:type="page"/>
      </w:r>
    </w:p>
    <w:p w:rsidR="00FF5263" w:rsidRPr="00FF5263" w:rsidRDefault="00FF5263" w:rsidP="00FF5263">
      <w:pPr>
        <w:pStyle w:val="Heading1"/>
      </w:pPr>
      <w:r w:rsidRPr="00FF5263">
        <w:lastRenderedPageBreak/>
        <w:t>Green wedge management plans and their</w:t>
      </w:r>
      <w:r>
        <w:t xml:space="preserve"> </w:t>
      </w:r>
      <w:r w:rsidRPr="00FF5263">
        <w:t>purpose</w:t>
      </w:r>
    </w:p>
    <w:p w:rsidR="00FF5263" w:rsidRPr="00FF5263" w:rsidRDefault="00FF5263" w:rsidP="00FF5263">
      <w:r w:rsidRPr="00FF5263">
        <w:t>In October 2002 the Victorian Government introduced its 30-year planning</w:t>
      </w:r>
      <w:r>
        <w:t xml:space="preserve"> </w:t>
      </w:r>
      <w:r w:rsidRPr="00FF5263">
        <w:t>framework Melbourne 2030 Planning for Sustainable Growth, which</w:t>
      </w:r>
      <w:r>
        <w:t xml:space="preserve"> </w:t>
      </w:r>
      <w:r w:rsidRPr="00FF5263">
        <w:t>recognises the importance of Melbourne’s green wedges and protects them</w:t>
      </w:r>
      <w:r>
        <w:t xml:space="preserve"> </w:t>
      </w:r>
      <w:r w:rsidRPr="00FF5263">
        <w:t>through the introduction of the metropolitan urban growth boundary. The</w:t>
      </w:r>
      <w:r>
        <w:t xml:space="preserve"> </w:t>
      </w:r>
      <w:r w:rsidRPr="00FF5263">
        <w:t>Melbourne 2030 vision for green wedges is: ‘…to encourage their proper</w:t>
      </w:r>
      <w:r>
        <w:t xml:space="preserve"> </w:t>
      </w:r>
      <w:r w:rsidRPr="00FF5263">
        <w:t>management and to protect them for non-urban uses’ (DSE 2005). The long</w:t>
      </w:r>
      <w:r>
        <w:t xml:space="preserve"> </w:t>
      </w:r>
      <w:r w:rsidRPr="00FF5263">
        <w:t>term planning and management of Melbourne’s</w:t>
      </w:r>
      <w:r>
        <w:t xml:space="preserve"> green wedges is a priority for </w:t>
      </w:r>
      <w:r w:rsidRPr="00FF5263">
        <w:t>the Victorian State Government. The city’s 17 green wedge councils are each</w:t>
      </w:r>
      <w:r>
        <w:t xml:space="preserve"> </w:t>
      </w:r>
      <w:r w:rsidRPr="00FF5263">
        <w:t>required by Melbourne 2030 to produce a green wedge management plan for</w:t>
      </w:r>
      <w:r>
        <w:t xml:space="preserve"> </w:t>
      </w:r>
      <w:r w:rsidRPr="00FF5263">
        <w:t>green wedge land in their municipality.</w:t>
      </w:r>
    </w:p>
    <w:p w:rsidR="00FF5263" w:rsidRPr="00FF5263" w:rsidRDefault="00FF5263" w:rsidP="00FF5263">
      <w:r w:rsidRPr="00FF5263">
        <w:t>A green wedge management plan (GWMP) is a council adopted strategy that</w:t>
      </w:r>
      <w:r>
        <w:t xml:space="preserve"> </w:t>
      </w:r>
      <w:r w:rsidRPr="00FF5263">
        <w:t>identifies a vision, objectives and actions for the sustainable management of a</w:t>
      </w:r>
      <w:r>
        <w:t xml:space="preserve"> </w:t>
      </w:r>
      <w:r w:rsidRPr="00FF5263">
        <w:t>particular green wedge. Nillumbik Shire Council’s GWMP is integral to the</w:t>
      </w:r>
      <w:r>
        <w:t xml:space="preserve"> </w:t>
      </w:r>
      <w:r w:rsidRPr="00FF5263">
        <w:t>Nillumbik Planning Scheme. It informs, and provides guidance to, a range of</w:t>
      </w:r>
      <w:r>
        <w:t xml:space="preserve"> </w:t>
      </w:r>
      <w:r w:rsidRPr="00FF5263">
        <w:t>other plans and strategies including the Municipal Strategic Statement.</w:t>
      </w:r>
    </w:p>
    <w:p w:rsidR="00FF5263" w:rsidRPr="00FF5263" w:rsidRDefault="00FF5263" w:rsidP="00FF5263">
      <w:r w:rsidRPr="00FF5263">
        <w:t>The plan identifies the values and features of</w:t>
      </w:r>
      <w:r>
        <w:t xml:space="preserve"> the green wedge, the preferred </w:t>
      </w:r>
      <w:r w:rsidRPr="00FF5263">
        <w:t>land use, the environmental and natural resources to be protected and the</w:t>
      </w:r>
      <w:r>
        <w:t xml:space="preserve"> </w:t>
      </w:r>
      <w:r w:rsidRPr="00FF5263">
        <w:t>social and economic needs of local communities and townships within the</w:t>
      </w:r>
      <w:r>
        <w:t xml:space="preserve"> </w:t>
      </w:r>
      <w:r w:rsidRPr="00FF5263">
        <w:t>green wedge. It must be consistent with Melbourne 2030 and is not intended</w:t>
      </w:r>
      <w:r>
        <w:t xml:space="preserve"> </w:t>
      </w:r>
      <w:r w:rsidRPr="00FF5263">
        <w:t>to re-open debates regarding Melbourne 2030 (DSE 2005, pp. 1, 5).</w:t>
      </w:r>
    </w:p>
    <w:p w:rsidR="00FF5263" w:rsidRPr="00FF5263" w:rsidRDefault="00FF5263" w:rsidP="00FF5263">
      <w:r w:rsidRPr="00FF5263">
        <w:t>Nillumbik’s GWMP includes the townships. Th</w:t>
      </w:r>
      <w:r>
        <w:t xml:space="preserve">ese are not, technically, Green </w:t>
      </w:r>
      <w:r w:rsidRPr="00FF5263">
        <w:t>Wedge zoned land, but they are a part of its landscape: the future of the</w:t>
      </w:r>
      <w:r>
        <w:t xml:space="preserve"> </w:t>
      </w:r>
      <w:r w:rsidRPr="00FF5263">
        <w:t>Nillumbik Green Wedge is linked to its townships.</w:t>
      </w:r>
    </w:p>
    <w:p w:rsidR="00FF5263" w:rsidRPr="00FF5263" w:rsidRDefault="00FF5263" w:rsidP="00FF5263">
      <w:r w:rsidRPr="00FF5263">
        <w:t>The Nillumbik Green Wedge will experience</w:t>
      </w:r>
      <w:r>
        <w:t xml:space="preserve"> land use change over time. The </w:t>
      </w:r>
      <w:r w:rsidRPr="00FF5263">
        <w:t>GWMP is Nillumbik Shire Council’s opportunity to articulate, clearly, the kinds</w:t>
      </w:r>
      <w:r>
        <w:t xml:space="preserve"> </w:t>
      </w:r>
      <w:r w:rsidRPr="00FF5263">
        <w:t>of development or activities – type, scale and form – likely to be supported in</w:t>
      </w:r>
      <w:r>
        <w:t xml:space="preserve"> </w:t>
      </w:r>
      <w:r w:rsidRPr="00FF5263">
        <w:t>the Nillumbik Green Wedge and how this will be managed. The GWMP will</w:t>
      </w:r>
      <w:r>
        <w:t xml:space="preserve"> </w:t>
      </w:r>
      <w:r w:rsidRPr="00FF5263">
        <w:t>provide greater clarity for all stakeholders, including landowners.</w:t>
      </w:r>
    </w:p>
    <w:p w:rsidR="00FF5263" w:rsidRPr="00FF5263" w:rsidRDefault="00FF5263" w:rsidP="00FF5263">
      <w:r w:rsidRPr="00FF5263">
        <w:t>Nillumbik’s GWMP includes a range of measur</w:t>
      </w:r>
      <w:r>
        <w:t xml:space="preserve">es, such as changes to local </w:t>
      </w:r>
      <w:r w:rsidRPr="00FF5263">
        <w:t>planning policy, land use frameworks, education programmes and incentives.</w:t>
      </w:r>
    </w:p>
    <w:p w:rsidR="00FF5263" w:rsidRDefault="00FF5263" w:rsidP="00FF5263">
      <w:r w:rsidRPr="00FF5263">
        <w:t>In delivering this GWMP it is important t</w:t>
      </w:r>
      <w:r>
        <w:t xml:space="preserve">hat the Shire of Nillumbik uses </w:t>
      </w:r>
      <w:r w:rsidRPr="00FF5263">
        <w:t>existing forums such as the interface councils and that it works in partnership</w:t>
      </w:r>
      <w:r>
        <w:t xml:space="preserve"> </w:t>
      </w:r>
      <w:r w:rsidRPr="00FF5263">
        <w:t>and cooperation with adjoining municipalities, and with state government</w:t>
      </w:r>
      <w:r>
        <w:t xml:space="preserve"> </w:t>
      </w:r>
      <w:r w:rsidRPr="00FF5263">
        <w:t>agencies. These agencies include Parks Victoria, Melbourne Water and the</w:t>
      </w:r>
      <w:r>
        <w:t xml:space="preserve"> </w:t>
      </w:r>
      <w:r w:rsidRPr="00FF5263">
        <w:t>Port Philip Catchment Management Authority.</w:t>
      </w:r>
    </w:p>
    <w:p w:rsidR="00FF5263" w:rsidRDefault="00FF5263">
      <w:r>
        <w:br w:type="page"/>
      </w:r>
    </w:p>
    <w:p w:rsidR="00FF5263" w:rsidRPr="00FF5263" w:rsidRDefault="00FF5263" w:rsidP="00FF5263">
      <w:pPr>
        <w:pStyle w:val="Heading1"/>
      </w:pPr>
      <w:r w:rsidRPr="00FF5263">
        <w:lastRenderedPageBreak/>
        <w:t>Policy context</w:t>
      </w:r>
    </w:p>
    <w:p w:rsidR="00FF5263" w:rsidRPr="00FF5263" w:rsidRDefault="00FF5263" w:rsidP="00FF5263">
      <w:r w:rsidRPr="00FF5263">
        <w:t xml:space="preserve">The Nillumbik Green Wedge Management Plan is not a </w:t>
      </w:r>
      <w:r>
        <w:t xml:space="preserve">stand-alone plan. It </w:t>
      </w:r>
      <w:r w:rsidRPr="00FF5263">
        <w:t>has been developed and will be delivered, within existing state and local</w:t>
      </w:r>
      <w:r>
        <w:t xml:space="preserve"> </w:t>
      </w:r>
      <w:r w:rsidRPr="00FF5263">
        <w:t>planning frameworks and policies. Its preparation is guided by the Department</w:t>
      </w:r>
      <w:r>
        <w:t xml:space="preserve"> </w:t>
      </w:r>
      <w:r w:rsidRPr="00FF5263">
        <w:t>of Sustainability and Environment practice note: Preparing a Green Wedge</w:t>
      </w:r>
      <w:r>
        <w:t xml:space="preserve"> </w:t>
      </w:r>
      <w:r w:rsidRPr="00FF5263">
        <w:t>Management Plan, August 2005.</w:t>
      </w:r>
    </w:p>
    <w:p w:rsidR="00FF5263" w:rsidRPr="00FF5263" w:rsidRDefault="00FF5263" w:rsidP="00FF5263">
      <w:r w:rsidRPr="00FF5263">
        <w:t>The concept of green wedges as rural landscapes and natural areas</w:t>
      </w:r>
      <w:r>
        <w:t xml:space="preserve"> </w:t>
      </w:r>
      <w:r w:rsidRPr="00FF5263">
        <w:t>separating corridors of urban development is a longstanding metropolitan</w:t>
      </w:r>
      <w:r>
        <w:t xml:space="preserve"> </w:t>
      </w:r>
      <w:r w:rsidRPr="00FF5263">
        <w:t>planning commitment. This commitment has been endorsed and promoted by</w:t>
      </w:r>
      <w:r>
        <w:t xml:space="preserve"> </w:t>
      </w:r>
      <w:r w:rsidRPr="00FF5263">
        <w:t>the Victorian State Government policy document Melbourne 2030 and,</w:t>
      </w:r>
      <w:r>
        <w:t xml:space="preserve"> </w:t>
      </w:r>
      <w:r w:rsidRPr="00FF5263">
        <w:t>subsequently, by Melbourne @ 5million which confirms these policy</w:t>
      </w:r>
      <w:r>
        <w:t xml:space="preserve"> </w:t>
      </w:r>
      <w:r w:rsidRPr="00FF5263">
        <w:t>directions.</w:t>
      </w:r>
    </w:p>
    <w:p w:rsidR="00FF5263" w:rsidRPr="00FF5263" w:rsidRDefault="00FF5263" w:rsidP="00FF5263">
      <w:r w:rsidRPr="00FF5263">
        <w:t>In this context the Nillumbik Green Wedge is a resource to be protected and</w:t>
      </w:r>
      <w:r>
        <w:t xml:space="preserve"> </w:t>
      </w:r>
      <w:r w:rsidRPr="00FF5263">
        <w:t>managed on behalf of the whole metropolitan community because of its</w:t>
      </w:r>
      <w:r>
        <w:t xml:space="preserve"> </w:t>
      </w:r>
      <w:r w:rsidRPr="00FF5263">
        <w:t>environment and its recreational, agricultural, economic and social values.</w:t>
      </w:r>
    </w:p>
    <w:p w:rsidR="00FF5263" w:rsidRPr="00FF5263" w:rsidRDefault="00FF5263" w:rsidP="00FF5263">
      <w:r w:rsidRPr="00FF5263">
        <w:t>The following policies, plans and strategies affect management of the</w:t>
      </w:r>
      <w:r w:rsidR="00272A9F">
        <w:t xml:space="preserve"> </w:t>
      </w:r>
      <w:r w:rsidRPr="00FF5263">
        <w:t>Nillumbik Green Wedge:</w:t>
      </w:r>
    </w:p>
    <w:p w:rsidR="00FF5263" w:rsidRPr="00FF5263" w:rsidRDefault="00FF5263" w:rsidP="00272A9F">
      <w:pPr>
        <w:pStyle w:val="ListBullet"/>
      </w:pPr>
      <w:r w:rsidRPr="00FF5263">
        <w:t>state government policies</w:t>
      </w:r>
    </w:p>
    <w:p w:rsidR="00FF5263" w:rsidRPr="00FF5263" w:rsidRDefault="00FF5263" w:rsidP="00272A9F">
      <w:pPr>
        <w:pStyle w:val="ListBullet"/>
      </w:pPr>
      <w:r w:rsidRPr="00FF5263">
        <w:t>Nillumbik Shire Council policies and planning controls</w:t>
      </w:r>
    </w:p>
    <w:p w:rsidR="00FF5263" w:rsidRDefault="00FF5263" w:rsidP="00272A9F">
      <w:pPr>
        <w:pStyle w:val="ListBullet"/>
      </w:pPr>
      <w:proofErr w:type="gramStart"/>
      <w:r w:rsidRPr="00FF5263">
        <w:t>related</w:t>
      </w:r>
      <w:proofErr w:type="gramEnd"/>
      <w:r w:rsidRPr="00FF5263">
        <w:t xml:space="preserve"> state government and council strategies.</w:t>
      </w:r>
    </w:p>
    <w:p w:rsidR="00272A9F" w:rsidRDefault="00272A9F" w:rsidP="00272A9F">
      <w:pPr>
        <w:pStyle w:val="ListBullet"/>
        <w:numPr>
          <w:ilvl w:val="0"/>
          <w:numId w:val="0"/>
        </w:numPr>
      </w:pPr>
      <w:r>
        <w:rPr>
          <w:noProof/>
          <w:lang w:eastAsia="en-AU"/>
        </w:rPr>
        <w:drawing>
          <wp:inline distT="0" distB="0" distL="0" distR="0">
            <wp:extent cx="6120130" cy="4477385"/>
            <wp:effectExtent l="0" t="0" r="0" b="0"/>
            <wp:docPr id="6" name="Picture 6" descr="where the GWMP sits in the council plan hierarc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ncil stra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A9F" w:rsidRPr="00272A9F" w:rsidRDefault="00272A9F" w:rsidP="00272A9F">
      <w:pPr>
        <w:pStyle w:val="Heading2"/>
      </w:pPr>
      <w:r w:rsidRPr="00272A9F">
        <w:lastRenderedPageBreak/>
        <w:t>State government policies</w:t>
      </w:r>
    </w:p>
    <w:p w:rsidR="00272A9F" w:rsidRPr="00272A9F" w:rsidRDefault="00272A9F" w:rsidP="00272A9F">
      <w:pPr>
        <w:rPr>
          <w:b/>
        </w:rPr>
      </w:pPr>
      <w:r w:rsidRPr="00272A9F">
        <w:rPr>
          <w:b/>
        </w:rPr>
        <w:t>Melbourne 2030</w:t>
      </w:r>
    </w:p>
    <w:p w:rsidR="00272A9F" w:rsidRPr="00272A9F" w:rsidRDefault="00272A9F" w:rsidP="00272A9F">
      <w:r w:rsidRPr="00272A9F">
        <w:t>Melbourne 2030 provides the overarching planning framework for the green</w:t>
      </w:r>
      <w:r>
        <w:t xml:space="preserve"> </w:t>
      </w:r>
      <w:r w:rsidRPr="00272A9F">
        <w:t>wedge. Its successful implementation is important to secure the long term</w:t>
      </w:r>
      <w:r>
        <w:t xml:space="preserve"> </w:t>
      </w:r>
      <w:r w:rsidRPr="00272A9F">
        <w:t>future of the Nillumbik Green Wedge: what happens outside the green wedge</w:t>
      </w:r>
      <w:r>
        <w:t xml:space="preserve"> </w:t>
      </w:r>
      <w:r w:rsidRPr="00272A9F">
        <w:t>is as important as what happens inside it. Nillumbik’s GWMP is based on the</w:t>
      </w:r>
      <w:r>
        <w:t xml:space="preserve"> </w:t>
      </w:r>
      <w:r w:rsidRPr="00272A9F">
        <w:t>premise that the state government will resource and implement Melbourne</w:t>
      </w:r>
      <w:r>
        <w:t xml:space="preserve"> </w:t>
      </w:r>
      <w:r w:rsidRPr="00272A9F">
        <w:t>2030 and that activity centre planning and urban consolidation will be</w:t>
      </w:r>
      <w:r>
        <w:t xml:space="preserve"> </w:t>
      </w:r>
      <w:r w:rsidRPr="00272A9F">
        <w:t>delivered.</w:t>
      </w:r>
    </w:p>
    <w:p w:rsidR="00272A9F" w:rsidRDefault="00272A9F" w:rsidP="00272A9F">
      <w:r w:rsidRPr="00272A9F">
        <w:t>Melbourne 2030 was assessed in 2007 by an Audit Expert Group (AEG)</w:t>
      </w:r>
      <w:r>
        <w:t xml:space="preserve"> </w:t>
      </w:r>
      <w:r w:rsidRPr="00272A9F">
        <w:t>which reported that it was ‘…convinced that the fundamental principles of</w:t>
      </w:r>
      <w:r>
        <w:t xml:space="preserve"> </w:t>
      </w:r>
      <w:r w:rsidRPr="00272A9F">
        <w:t>Melbourne 2030 are more relevant than ever. This is because of the</w:t>
      </w:r>
      <w:r>
        <w:t xml:space="preserve"> </w:t>
      </w:r>
      <w:r w:rsidRPr="00272A9F">
        <w:t>challenges posed by climate change, traffic congestion, the faster than</w:t>
      </w:r>
      <w:r>
        <w:t xml:space="preserve"> </w:t>
      </w:r>
      <w:r w:rsidRPr="00272A9F">
        <w:t>expected growth of Melbourne’s population, and the fact that Melbourne is still</w:t>
      </w:r>
      <w:r>
        <w:t xml:space="preserve"> </w:t>
      </w:r>
      <w:r w:rsidRPr="00272A9F">
        <w:t>an extremely spread out city.’ The state government’s response to the audit,</w:t>
      </w:r>
      <w:r>
        <w:t xml:space="preserve"> </w:t>
      </w:r>
      <w:proofErr w:type="gramStart"/>
      <w:r w:rsidRPr="00272A9F">
        <w:t>Planning</w:t>
      </w:r>
      <w:proofErr w:type="gramEnd"/>
      <w:r w:rsidRPr="00272A9F">
        <w:t xml:space="preserve"> for all of Melbourne, commits the city to continued growth, but also</w:t>
      </w:r>
      <w:r>
        <w:t xml:space="preserve"> </w:t>
      </w:r>
      <w:r w:rsidRPr="00272A9F">
        <w:t>acknowledges the need for careful management (DPCD 2008, p. iv).</w:t>
      </w:r>
    </w:p>
    <w:p w:rsidR="00272A9F" w:rsidRPr="00272A9F" w:rsidRDefault="00272A9F" w:rsidP="00272A9F">
      <w:r w:rsidRPr="00272A9F">
        <w:t>Of particular note for the Nillumbik GWMP is that the AEG made the following</w:t>
      </w:r>
      <w:r>
        <w:t xml:space="preserve"> </w:t>
      </w:r>
      <w:r w:rsidRPr="00272A9F">
        <w:t>recommendation (AEG recommendation 5.2) in respect of green wedges:</w:t>
      </w:r>
    </w:p>
    <w:p w:rsidR="00272A9F" w:rsidRPr="00272A9F" w:rsidRDefault="00272A9F" w:rsidP="00272A9F">
      <w:r w:rsidRPr="00272A9F">
        <w:t>…the state government gives higher priority to enhancing the</w:t>
      </w:r>
      <w:r>
        <w:t xml:space="preserve"> </w:t>
      </w:r>
      <w:r w:rsidRPr="00272A9F">
        <w:t>contribution of green wedges to the sustainability and liveability of</w:t>
      </w:r>
      <w:r>
        <w:t xml:space="preserve"> </w:t>
      </w:r>
      <w:r w:rsidRPr="00272A9F">
        <w:t>Melbourne. Means by which this can be achieved include:</w:t>
      </w:r>
    </w:p>
    <w:p w:rsidR="00272A9F" w:rsidRPr="00272A9F" w:rsidRDefault="00272A9F" w:rsidP="00272A9F">
      <w:pPr>
        <w:pStyle w:val="ListBullet"/>
      </w:pPr>
      <w:r w:rsidRPr="00272A9F">
        <w:t>implementing the green wedg</w:t>
      </w:r>
      <w:r>
        <w:t xml:space="preserve">e management plans, ensure that </w:t>
      </w:r>
      <w:r w:rsidRPr="00272A9F">
        <w:t>controls on the land recognise the inherent differences in the nature</w:t>
      </w:r>
      <w:r>
        <w:t xml:space="preserve"> </w:t>
      </w:r>
      <w:r w:rsidRPr="00272A9F">
        <w:t>and capability of land within each green wedge</w:t>
      </w:r>
    </w:p>
    <w:p w:rsidR="00272A9F" w:rsidRPr="00272A9F" w:rsidRDefault="00272A9F" w:rsidP="00272A9F">
      <w:pPr>
        <w:pStyle w:val="ListBullet"/>
      </w:pPr>
      <w:r w:rsidRPr="00272A9F">
        <w:t>developing appropriate incentives</w:t>
      </w:r>
      <w:r>
        <w:t xml:space="preserve"> and programs for assistance to </w:t>
      </w:r>
      <w:r w:rsidRPr="00272A9F">
        <w:t>landowners to manage and maintain this important metropolitan</w:t>
      </w:r>
      <w:r>
        <w:t xml:space="preserve"> </w:t>
      </w:r>
      <w:r w:rsidRPr="00272A9F">
        <w:t>resource</w:t>
      </w:r>
    </w:p>
    <w:p w:rsidR="00272A9F" w:rsidRPr="00272A9F" w:rsidRDefault="00272A9F" w:rsidP="00272A9F">
      <w:pPr>
        <w:pStyle w:val="ListBullet"/>
      </w:pPr>
      <w:proofErr w:type="gramStart"/>
      <w:r w:rsidRPr="00272A9F">
        <w:t>ensuring</w:t>
      </w:r>
      <w:proofErr w:type="gramEnd"/>
      <w:r w:rsidRPr="00272A9F">
        <w:t xml:space="preserve"> that tourist and recreation</w:t>
      </w:r>
      <w:r>
        <w:t xml:space="preserve">al developments in green wedges </w:t>
      </w:r>
      <w:r w:rsidRPr="00272A9F">
        <w:t xml:space="preserve">are only approved where they support Melbourne 2030 </w:t>
      </w:r>
      <w:r>
        <w:t xml:space="preserve">(DPCD 2008, </w:t>
      </w:r>
      <w:r w:rsidRPr="00272A9F">
        <w:t>p. 47).</w:t>
      </w:r>
    </w:p>
    <w:p w:rsidR="00272A9F" w:rsidRPr="00272A9F" w:rsidRDefault="00272A9F" w:rsidP="00272A9F">
      <w:pPr>
        <w:rPr>
          <w:b/>
        </w:rPr>
      </w:pPr>
      <w:r w:rsidRPr="00272A9F">
        <w:rPr>
          <w:b/>
        </w:rPr>
        <w:t>Melbourne @ 5 million</w:t>
      </w:r>
    </w:p>
    <w:p w:rsidR="00272A9F" w:rsidRPr="00272A9F" w:rsidRDefault="00272A9F" w:rsidP="00272A9F">
      <w:r w:rsidRPr="00272A9F">
        <w:t>In December 2008 the state government released an update to Melbourne</w:t>
      </w:r>
      <w:r>
        <w:t xml:space="preserve"> </w:t>
      </w:r>
      <w:r w:rsidRPr="00272A9F">
        <w:t>2030: Melbourne @ 5 Million.</w:t>
      </w:r>
    </w:p>
    <w:p w:rsidR="00272A9F" w:rsidRPr="00272A9F" w:rsidRDefault="00272A9F" w:rsidP="00272A9F">
      <w:r w:rsidRPr="00272A9F">
        <w:t>Melbourne @ 5 million provides policy initia</w:t>
      </w:r>
      <w:r>
        <w:t xml:space="preserve">tives that are complementary to </w:t>
      </w:r>
      <w:r w:rsidRPr="00272A9F">
        <w:t>the directions of Melbourne 2030 and commits to protecting Melbourne’s</w:t>
      </w:r>
      <w:r>
        <w:t xml:space="preserve"> </w:t>
      </w:r>
      <w:r w:rsidRPr="00272A9F">
        <w:t>green wedges by concentrating future urban growth into clearly defined</w:t>
      </w:r>
      <w:r>
        <w:t xml:space="preserve"> </w:t>
      </w:r>
      <w:r w:rsidRPr="00272A9F">
        <w:t>growth corridors. The two documents should be considered together.</w:t>
      </w:r>
    </w:p>
    <w:p w:rsidR="00272A9F" w:rsidRPr="00272A9F" w:rsidRDefault="00272A9F" w:rsidP="00272A9F">
      <w:r w:rsidRPr="00272A9F">
        <w:t>Melbourne @ 5million contains propo</w:t>
      </w:r>
      <w:r>
        <w:t xml:space="preserve">sals to expand the urban growth </w:t>
      </w:r>
      <w:r w:rsidRPr="00272A9F">
        <w:t>boundary to allow for expansion of the growth areas. Areas to be considered</w:t>
      </w:r>
      <w:r>
        <w:t xml:space="preserve"> </w:t>
      </w:r>
      <w:r w:rsidRPr="00272A9F">
        <w:t>for inclusion within the growth areas are designated investigation areas.</w:t>
      </w:r>
      <w:r>
        <w:t xml:space="preserve"> </w:t>
      </w:r>
      <w:r w:rsidRPr="00272A9F">
        <w:t>Amendment VC68, passed by the Victorian Parliament in August 2010,</w:t>
      </w:r>
      <w:r>
        <w:t xml:space="preserve"> </w:t>
      </w:r>
      <w:r w:rsidRPr="00272A9F">
        <w:t xml:space="preserve">changes the alignment of the UGB in the Casey, Hume, </w:t>
      </w:r>
      <w:r w:rsidRPr="00272A9F">
        <w:lastRenderedPageBreak/>
        <w:t>Melton, Whittlesea</w:t>
      </w:r>
      <w:r>
        <w:t xml:space="preserve"> </w:t>
      </w:r>
      <w:r w:rsidRPr="00272A9F">
        <w:t>and Wyndham planning schemes and extends it to include part of the Mitchell</w:t>
      </w:r>
      <w:r>
        <w:t xml:space="preserve"> </w:t>
      </w:r>
      <w:r w:rsidRPr="00272A9F">
        <w:t>planning scheme to increase the area of urban land in Melbourne.</w:t>
      </w:r>
    </w:p>
    <w:p w:rsidR="00272A9F" w:rsidRPr="00272A9F" w:rsidRDefault="00272A9F" w:rsidP="00272A9F">
      <w:r w:rsidRPr="00272A9F">
        <w:t>Nillumbik is not in a designated growth/investigation area and, as such, no</w:t>
      </w:r>
      <w:r>
        <w:t xml:space="preserve"> </w:t>
      </w:r>
      <w:r w:rsidRPr="00272A9F">
        <w:t>changes to the urban growth boundary in the Nillumbik area are proposed.</w:t>
      </w:r>
    </w:p>
    <w:p w:rsidR="00272A9F" w:rsidRPr="00272A9F" w:rsidRDefault="00272A9F" w:rsidP="00272A9F">
      <w:r w:rsidRPr="00272A9F">
        <w:t>Other state and regional policies</w:t>
      </w:r>
    </w:p>
    <w:p w:rsidR="00272A9F" w:rsidRPr="00272A9F" w:rsidRDefault="00272A9F" w:rsidP="00272A9F">
      <w:r w:rsidRPr="00272A9F">
        <w:t>There is a multitude of plans, programmes and oth</w:t>
      </w:r>
      <w:r>
        <w:t xml:space="preserve">er initiatives which have an </w:t>
      </w:r>
      <w:r w:rsidRPr="00272A9F">
        <w:t>impact on the Nillumbik Green Wedge and which cover areas such as</w:t>
      </w:r>
      <w:r>
        <w:t xml:space="preserve"> </w:t>
      </w:r>
      <w:r w:rsidRPr="00272A9F">
        <w:t>tourism, agriculture, conservation, planning, and roads. The following are of</w:t>
      </w:r>
      <w:r>
        <w:t xml:space="preserve"> </w:t>
      </w:r>
      <w:r w:rsidRPr="00272A9F">
        <w:t>particular note:</w:t>
      </w:r>
    </w:p>
    <w:p w:rsidR="00272A9F" w:rsidRPr="00272A9F" w:rsidRDefault="00272A9F" w:rsidP="00272A9F">
      <w:pPr>
        <w:pStyle w:val="ListBullet"/>
      </w:pPr>
      <w:r w:rsidRPr="00272A9F">
        <w:t>Melbourne 2030 - Implementation Plan 5: Green Wedges (2002)</w:t>
      </w:r>
    </w:p>
    <w:p w:rsidR="00272A9F" w:rsidRPr="00272A9F" w:rsidRDefault="00272A9F" w:rsidP="00272A9F">
      <w:pPr>
        <w:pStyle w:val="ListBullet"/>
      </w:pPr>
      <w:r w:rsidRPr="00272A9F">
        <w:t>Principles Issues and Guidelines for Green Wedge Management Plans</w:t>
      </w:r>
      <w:r>
        <w:t xml:space="preserve"> </w:t>
      </w:r>
      <w:r w:rsidRPr="00272A9F">
        <w:t>(DSE 2005)</w:t>
      </w:r>
    </w:p>
    <w:p w:rsidR="00272A9F" w:rsidRDefault="00272A9F" w:rsidP="00272A9F">
      <w:pPr>
        <w:pStyle w:val="ListBullet"/>
      </w:pPr>
      <w:r w:rsidRPr="00272A9F">
        <w:t xml:space="preserve">Preparing a Green Wedge Management Plan </w:t>
      </w:r>
      <w:r>
        <w:t xml:space="preserve">(Practice Note, DSE </w:t>
      </w:r>
      <w:r w:rsidRPr="00272A9F">
        <w:t>2005).</w:t>
      </w:r>
    </w:p>
    <w:p w:rsidR="00272A9F" w:rsidRPr="00272A9F" w:rsidRDefault="00272A9F" w:rsidP="00272A9F">
      <w:r w:rsidRPr="00272A9F">
        <w:t>In addition, there is regional or state leve</w:t>
      </w:r>
      <w:r>
        <w:t xml:space="preserve">l guidance available on related </w:t>
      </w:r>
      <w:r w:rsidRPr="00272A9F">
        <w:t>issues such as catchment management and biodiversity including:</w:t>
      </w:r>
    </w:p>
    <w:p w:rsidR="00272A9F" w:rsidRPr="00272A9F" w:rsidRDefault="00272A9F" w:rsidP="00272A9F">
      <w:pPr>
        <w:pStyle w:val="ListBullet"/>
      </w:pPr>
      <w:r w:rsidRPr="00272A9F">
        <w:t>Linking People and Spaces (Parks Victoria)</w:t>
      </w:r>
    </w:p>
    <w:p w:rsidR="00272A9F" w:rsidRPr="00272A9F" w:rsidRDefault="00272A9F" w:rsidP="00272A9F">
      <w:pPr>
        <w:pStyle w:val="ListBullet"/>
      </w:pPr>
      <w:r w:rsidRPr="00272A9F">
        <w:t>Northern Regional Housing Statement</w:t>
      </w:r>
    </w:p>
    <w:p w:rsidR="00272A9F" w:rsidRPr="00272A9F" w:rsidRDefault="00272A9F" w:rsidP="00272A9F">
      <w:pPr>
        <w:pStyle w:val="ListBullet"/>
      </w:pPr>
      <w:r w:rsidRPr="00272A9F">
        <w:t>Regional Catchment Management Strategy.</w:t>
      </w:r>
    </w:p>
    <w:p w:rsidR="00272A9F" w:rsidRPr="00272A9F" w:rsidRDefault="00272A9F" w:rsidP="00272A9F">
      <w:pPr>
        <w:pStyle w:val="Heading2"/>
      </w:pPr>
      <w:r w:rsidRPr="00272A9F">
        <w:t>Nillumbik Shire Council policies</w:t>
      </w:r>
    </w:p>
    <w:p w:rsidR="00272A9F" w:rsidRPr="00272A9F" w:rsidRDefault="00272A9F" w:rsidP="00272A9F">
      <w:pPr>
        <w:rPr>
          <w:b/>
        </w:rPr>
      </w:pPr>
      <w:r w:rsidRPr="00272A9F">
        <w:rPr>
          <w:b/>
        </w:rPr>
        <w:t>Council Plan 2009–2013</w:t>
      </w:r>
    </w:p>
    <w:p w:rsidR="00272A9F" w:rsidRPr="00272A9F" w:rsidRDefault="00272A9F" w:rsidP="00272A9F">
      <w:r w:rsidRPr="00272A9F">
        <w:t>Council’s Plan 2009–2013 recognises council’s responsibility for managing</w:t>
      </w:r>
      <w:r>
        <w:t xml:space="preserve"> </w:t>
      </w:r>
      <w:r w:rsidRPr="00272A9F">
        <w:t>and protecting the green wedge (action 2.1.5). It also recognises the</w:t>
      </w:r>
      <w:r>
        <w:t xml:space="preserve"> </w:t>
      </w:r>
      <w:r w:rsidRPr="00272A9F">
        <w:t>importance of the local economy and supports '… appropriate economic</w:t>
      </w:r>
      <w:r>
        <w:t xml:space="preserve"> </w:t>
      </w:r>
      <w:r w:rsidRPr="00272A9F">
        <w:t>development in the green wedge including tourism, food production and</w:t>
      </w:r>
      <w:r>
        <w:t xml:space="preserve"> </w:t>
      </w:r>
      <w:r w:rsidRPr="00272A9F">
        <w:t>agriculture…'.Council is committed to the placement of the urban growth</w:t>
      </w:r>
      <w:r>
        <w:t xml:space="preserve"> </w:t>
      </w:r>
      <w:r w:rsidRPr="00272A9F">
        <w:t>boundary in accordance with state government policy.</w:t>
      </w:r>
    </w:p>
    <w:p w:rsidR="00272A9F" w:rsidRPr="00272A9F" w:rsidRDefault="00272A9F" w:rsidP="00272A9F">
      <w:pPr>
        <w:pStyle w:val="Heading2"/>
      </w:pPr>
      <w:r w:rsidRPr="00272A9F">
        <w:t>Nillumbik Planning Scheme</w:t>
      </w:r>
    </w:p>
    <w:p w:rsidR="00272A9F" w:rsidRPr="00272A9F" w:rsidRDefault="00272A9F" w:rsidP="00272A9F">
      <w:r w:rsidRPr="00272A9F">
        <w:t>Nillumbik is called the Green Wedge Shire and this reflects the fact that</w:t>
      </w:r>
      <w:r>
        <w:t xml:space="preserve"> </w:t>
      </w:r>
      <w:r w:rsidRPr="00272A9F">
        <w:t>91 per cent of the shire is outside the urban growth boundary and recognises</w:t>
      </w:r>
      <w:r>
        <w:t xml:space="preserve"> </w:t>
      </w:r>
      <w:r w:rsidRPr="00272A9F">
        <w:t>the strong conservation focus of its residents.</w:t>
      </w:r>
    </w:p>
    <w:p w:rsidR="00272A9F" w:rsidRPr="00272A9F" w:rsidRDefault="00272A9F" w:rsidP="00272A9F">
      <w:r w:rsidRPr="00272A9F">
        <w:t>The main council planning document applying to the Nillumbik Green Wedge</w:t>
      </w:r>
      <w:r>
        <w:t xml:space="preserve"> </w:t>
      </w:r>
      <w:r w:rsidRPr="00272A9F">
        <w:t>is the Nillumbik Planning Scheme which incorporates the Municipal Strategic</w:t>
      </w:r>
      <w:r>
        <w:t xml:space="preserve"> </w:t>
      </w:r>
      <w:r w:rsidRPr="00272A9F">
        <w:t>Statement (MSS). The MSS sets out the broad strategy for the Nillumbik</w:t>
      </w:r>
      <w:r>
        <w:t xml:space="preserve"> </w:t>
      </w:r>
      <w:r w:rsidRPr="00272A9F">
        <w:t>Green Wedge and Nillumbik as a whole.</w:t>
      </w:r>
    </w:p>
    <w:p w:rsidR="00272A9F" w:rsidRPr="00272A9F" w:rsidRDefault="00272A9F" w:rsidP="00272A9F">
      <w:r w:rsidRPr="00272A9F">
        <w:t>The Nillumbik Municipal Strategic Statement states that:</w:t>
      </w:r>
    </w:p>
    <w:p w:rsidR="00272A9F" w:rsidRPr="00272A9F" w:rsidRDefault="00272A9F" w:rsidP="00272A9F">
      <w:r w:rsidRPr="00272A9F">
        <w:t xml:space="preserve">… </w:t>
      </w:r>
      <w:proofErr w:type="gramStart"/>
      <w:r w:rsidRPr="00272A9F">
        <w:t>in</w:t>
      </w:r>
      <w:proofErr w:type="gramEnd"/>
      <w:r w:rsidRPr="00272A9F">
        <w:t xml:space="preserve"> defining the boundaries of the shire, the Local Government</w:t>
      </w:r>
      <w:r>
        <w:t xml:space="preserve"> </w:t>
      </w:r>
      <w:r w:rsidRPr="00272A9F">
        <w:t>Board recognised the strong rural and conservation focus shared by</w:t>
      </w:r>
      <w:r>
        <w:t xml:space="preserve"> </w:t>
      </w:r>
      <w:r w:rsidRPr="00272A9F">
        <w:t>the communities of interest in this particular region of Melbourne.</w:t>
      </w:r>
    </w:p>
    <w:p w:rsidR="00272A9F" w:rsidRPr="00272A9F" w:rsidRDefault="00272A9F" w:rsidP="00272A9F">
      <w:r w:rsidRPr="00272A9F">
        <w:lastRenderedPageBreak/>
        <w:t>In keeping with this statement the Nillumbik Planning Scheme states that the</w:t>
      </w:r>
      <w:r>
        <w:t xml:space="preserve"> </w:t>
      </w:r>
      <w:r w:rsidRPr="00272A9F">
        <w:t>shire has a role as a metropolitan cultural, nature conservation and recreation</w:t>
      </w:r>
      <w:r>
        <w:t xml:space="preserve"> </w:t>
      </w:r>
      <w:r w:rsidRPr="00272A9F">
        <w:t>resource that will continue to be recognised throughout the state.</w:t>
      </w:r>
    </w:p>
    <w:p w:rsidR="00272A9F" w:rsidRDefault="00272A9F" w:rsidP="00272A9F">
      <w:r w:rsidRPr="00272A9F">
        <w:t>All future land use and development will enhance the aesthetic</w:t>
      </w:r>
      <w:r>
        <w:t xml:space="preserve"> </w:t>
      </w:r>
      <w:r w:rsidRPr="00272A9F">
        <w:t>qualities of the urban and rural environment responding in particular</w:t>
      </w:r>
      <w:r>
        <w:t xml:space="preserve"> </w:t>
      </w:r>
      <w:r w:rsidRPr="00272A9F">
        <w:t>to the character defined by land form, landscapes and vegetation</w:t>
      </w:r>
      <w:r>
        <w:t xml:space="preserve"> </w:t>
      </w:r>
      <w:r w:rsidRPr="00272A9F">
        <w:t>cover. The energies of the Nillumbik Shire Council will be directed to</w:t>
      </w:r>
      <w:r>
        <w:t xml:space="preserve"> </w:t>
      </w:r>
      <w:r w:rsidRPr="00272A9F">
        <w:t>enhancing the environmental conditions that enrich the area and</w:t>
      </w:r>
      <w:r>
        <w:t xml:space="preserve"> </w:t>
      </w:r>
      <w:r w:rsidRPr="00272A9F">
        <w:t>promoting development which meets present needs without</w:t>
      </w:r>
      <w:r>
        <w:t xml:space="preserve"> </w:t>
      </w:r>
      <w:r w:rsidRPr="00272A9F">
        <w:t>compromising the future wellbeing of the shire. In this way, the Shire</w:t>
      </w:r>
      <w:r>
        <w:t xml:space="preserve"> </w:t>
      </w:r>
      <w:r w:rsidRPr="00272A9F">
        <w:t>of Nillumbik will achieve an environmentally, socially and</w:t>
      </w:r>
      <w:r>
        <w:t xml:space="preserve"> </w:t>
      </w:r>
      <w:r w:rsidRPr="00272A9F">
        <w:t>economically sustainable future.</w:t>
      </w:r>
    </w:p>
    <w:p w:rsidR="00272A9F" w:rsidRPr="00272A9F" w:rsidRDefault="00272A9F" w:rsidP="00272A9F">
      <w:r w:rsidRPr="00272A9F">
        <w:t>More detailed statutory controls are set out in the remainder of the planning</w:t>
      </w:r>
      <w:r>
        <w:t xml:space="preserve"> </w:t>
      </w:r>
      <w:r w:rsidRPr="00272A9F">
        <w:t>scheme where provisions for the various Green Wedge Zones and overlays</w:t>
      </w:r>
      <w:r>
        <w:t xml:space="preserve"> </w:t>
      </w:r>
      <w:r w:rsidRPr="00272A9F">
        <w:t>are described. Details of these can be found in the Nillumbik Planning</w:t>
      </w:r>
      <w:r>
        <w:t xml:space="preserve"> </w:t>
      </w:r>
      <w:r w:rsidRPr="00272A9F">
        <w:t>Scheme.</w:t>
      </w:r>
    </w:p>
    <w:p w:rsidR="00272A9F" w:rsidRPr="00272A9F" w:rsidRDefault="00272A9F" w:rsidP="00272A9F">
      <w:pPr>
        <w:pStyle w:val="Heading3"/>
        <w:numPr>
          <w:ilvl w:val="0"/>
          <w:numId w:val="0"/>
        </w:numPr>
        <w:ind w:left="1077" w:hanging="1077"/>
      </w:pPr>
      <w:r w:rsidRPr="00272A9F">
        <w:t>Current planning controls</w:t>
      </w:r>
    </w:p>
    <w:p w:rsidR="00272A9F" w:rsidRPr="00272A9F" w:rsidRDefault="00272A9F" w:rsidP="00272A9F">
      <w:r w:rsidRPr="00272A9F">
        <w:t>The objective of planning controls is to protect the rural character and values</w:t>
      </w:r>
      <w:r>
        <w:t xml:space="preserve"> </w:t>
      </w:r>
      <w:r w:rsidRPr="00272A9F">
        <w:t>of the Nillumbik Green Wedge and to prevent urban encroachment.</w:t>
      </w:r>
    </w:p>
    <w:p w:rsidR="00272A9F" w:rsidRPr="00272A9F" w:rsidRDefault="00272A9F" w:rsidP="00272A9F">
      <w:r w:rsidRPr="00272A9F">
        <w:t>In May 2004 the state government introduced into the Nillumbik Planning</w:t>
      </w:r>
      <w:r>
        <w:t xml:space="preserve"> </w:t>
      </w:r>
      <w:r w:rsidRPr="00272A9F">
        <w:t>Scheme Clause 57 Metropolitan Green Wedge Land and the new Green</w:t>
      </w:r>
      <w:r>
        <w:t xml:space="preserve"> </w:t>
      </w:r>
      <w:r w:rsidRPr="00272A9F">
        <w:t>Wedge Zones. This resulted in the Environmental Rural Zone and Rural</w:t>
      </w:r>
      <w:r>
        <w:t xml:space="preserve"> </w:t>
      </w:r>
      <w:r w:rsidRPr="00272A9F">
        <w:t>zones being replaced by the Rural Conservation and Green Wedge Zones</w:t>
      </w:r>
      <w:r>
        <w:t xml:space="preserve"> </w:t>
      </w:r>
      <w:r w:rsidRPr="00272A9F">
        <w:t>respectively.</w:t>
      </w:r>
    </w:p>
    <w:p w:rsidR="00272A9F" w:rsidRPr="00272A9F" w:rsidRDefault="00272A9F" w:rsidP="00272A9F">
      <w:r w:rsidRPr="00272A9F">
        <w:t>The introduction of the new zones, in particular the Rural Conservation Zone,</w:t>
      </w:r>
      <w:r>
        <w:t xml:space="preserve"> </w:t>
      </w:r>
      <w:r w:rsidRPr="00272A9F">
        <w:t>which covers most of the non-urban part of the municipality, has tightened the</w:t>
      </w:r>
      <w:r>
        <w:t xml:space="preserve"> </w:t>
      </w:r>
      <w:r w:rsidRPr="00272A9F">
        <w:t>planning controls; placing restrictions on uses including accommodation,</w:t>
      </w:r>
      <w:r>
        <w:t xml:space="preserve"> </w:t>
      </w:r>
      <w:r w:rsidRPr="00272A9F">
        <w:t>industry, agriculture, retail, leisure and recreation. The changes are highly</w:t>
      </w:r>
      <w:r>
        <w:t xml:space="preserve"> </w:t>
      </w:r>
      <w:r w:rsidRPr="00272A9F">
        <w:t>relevant to the future economic direction of the Nillumbik Green Wedge and</w:t>
      </w:r>
      <w:r>
        <w:t xml:space="preserve"> </w:t>
      </w:r>
      <w:r w:rsidRPr="00272A9F">
        <w:t>will influence the type of development that can occur, especially tourism and</w:t>
      </w:r>
      <w:r>
        <w:t xml:space="preserve"> </w:t>
      </w:r>
      <w:r w:rsidRPr="00272A9F">
        <w:t>related activities.</w:t>
      </w:r>
    </w:p>
    <w:p w:rsidR="00272A9F" w:rsidRPr="00272A9F" w:rsidRDefault="00272A9F" w:rsidP="00272A9F">
      <w:r w:rsidRPr="00272A9F">
        <w:t>The following planning controls are applied in the Nillumbik Green Wedge:</w:t>
      </w:r>
    </w:p>
    <w:p w:rsidR="00272A9F" w:rsidRPr="00272A9F" w:rsidRDefault="00272A9F" w:rsidP="00272A9F">
      <w:pPr>
        <w:pStyle w:val="ListBullet"/>
      </w:pPr>
      <w:r w:rsidRPr="00272A9F">
        <w:t>Green Wedge Zone (Clause 35.04)</w:t>
      </w:r>
    </w:p>
    <w:p w:rsidR="00272A9F" w:rsidRPr="00272A9F" w:rsidRDefault="00272A9F" w:rsidP="00272A9F">
      <w:pPr>
        <w:pStyle w:val="ListBullet"/>
      </w:pPr>
      <w:r w:rsidRPr="00272A9F">
        <w:t>Rural Conservation Zone (Clause 35.06)</w:t>
      </w:r>
    </w:p>
    <w:p w:rsidR="00272A9F" w:rsidRPr="00272A9F" w:rsidRDefault="00272A9F" w:rsidP="00272A9F">
      <w:pPr>
        <w:pStyle w:val="ListBullet"/>
      </w:pPr>
      <w:r w:rsidRPr="00272A9F">
        <w:t>Public Conservation and Resource Zone (Clause 36.03)</w:t>
      </w:r>
    </w:p>
    <w:p w:rsidR="00272A9F" w:rsidRPr="00272A9F" w:rsidRDefault="00272A9F" w:rsidP="00272A9F">
      <w:pPr>
        <w:pStyle w:val="ListBullet"/>
      </w:pPr>
      <w:r w:rsidRPr="00272A9F">
        <w:t>Public Use Zone (Clause 36.01)</w:t>
      </w:r>
    </w:p>
    <w:p w:rsidR="00272A9F" w:rsidRPr="00272A9F" w:rsidRDefault="00272A9F" w:rsidP="00272A9F">
      <w:pPr>
        <w:pStyle w:val="ListBullet"/>
      </w:pPr>
      <w:r w:rsidRPr="00272A9F">
        <w:t>Special Use Zone (Clause 37.01)</w:t>
      </w:r>
    </w:p>
    <w:p w:rsidR="00272A9F" w:rsidRPr="00272A9F" w:rsidRDefault="00272A9F" w:rsidP="00272A9F">
      <w:pPr>
        <w:pStyle w:val="ListBullet"/>
      </w:pPr>
      <w:r w:rsidRPr="00272A9F">
        <w:t>Environmental Significance Overlay (Clause 42.01)</w:t>
      </w:r>
      <w:r>
        <w:t xml:space="preserve"> </w:t>
      </w:r>
      <w:r w:rsidRPr="00272A9F">
        <w:t>Schedules 1, 2, 3, 4</w:t>
      </w:r>
    </w:p>
    <w:p w:rsidR="00272A9F" w:rsidRPr="00272A9F" w:rsidRDefault="00272A9F" w:rsidP="00272A9F">
      <w:pPr>
        <w:pStyle w:val="ListBullet"/>
      </w:pPr>
      <w:r w:rsidRPr="00272A9F">
        <w:t>Siting and Design Policy for Bui</w:t>
      </w:r>
      <w:r>
        <w:t xml:space="preserve">ldings and Works in Rural Areas </w:t>
      </w:r>
      <w:r w:rsidRPr="00272A9F">
        <w:t>(Clause 22.04).</w:t>
      </w:r>
    </w:p>
    <w:p w:rsidR="00272A9F" w:rsidRPr="00272A9F" w:rsidRDefault="00272A9F" w:rsidP="00272A9F">
      <w:pPr>
        <w:pStyle w:val="ListBullet"/>
      </w:pPr>
      <w:r w:rsidRPr="00272A9F">
        <w:t>Development of Small Lots in Green Wedge Areas (Clause 22.03 –</w:t>
      </w:r>
      <w:r>
        <w:t xml:space="preserve"> </w:t>
      </w:r>
      <w:r w:rsidRPr="00272A9F">
        <w:t>expired in 2009)</w:t>
      </w:r>
    </w:p>
    <w:p w:rsidR="00272A9F" w:rsidRPr="00272A9F" w:rsidRDefault="00272A9F" w:rsidP="00272A9F">
      <w:pPr>
        <w:pStyle w:val="ListBullet"/>
      </w:pPr>
      <w:r w:rsidRPr="00272A9F">
        <w:t>Subdivision Policy (Clause 22.02 – expired in 2009)</w:t>
      </w:r>
    </w:p>
    <w:p w:rsidR="00272A9F" w:rsidRPr="00272A9F" w:rsidRDefault="00272A9F" w:rsidP="00272A9F">
      <w:pPr>
        <w:pStyle w:val="ListBullet"/>
      </w:pPr>
      <w:r w:rsidRPr="00272A9F">
        <w:lastRenderedPageBreak/>
        <w:t>Wildfire Management Overlay (Clause 44.06)</w:t>
      </w:r>
    </w:p>
    <w:p w:rsidR="00272A9F" w:rsidRPr="00272A9F" w:rsidRDefault="00272A9F" w:rsidP="00272A9F">
      <w:pPr>
        <w:pStyle w:val="ListBullet"/>
      </w:pPr>
      <w:r w:rsidRPr="00272A9F">
        <w:t>Wildfire Management Policy (Clause 22.13).</w:t>
      </w:r>
    </w:p>
    <w:p w:rsidR="00272A9F" w:rsidRDefault="00272A9F" w:rsidP="00272A9F">
      <w:r w:rsidRPr="00272A9F">
        <w:t>The Rural Conservation Zone is the predominant zone within the Nillumbik</w:t>
      </w:r>
      <w:r>
        <w:t xml:space="preserve"> </w:t>
      </w:r>
      <w:r w:rsidRPr="00272A9F">
        <w:t>Green Wedge. This zone and the Green Wedge Zone, apply to private land</w:t>
      </w:r>
      <w:r>
        <w:t xml:space="preserve"> </w:t>
      </w:r>
      <w:r w:rsidRPr="00272A9F">
        <w:t>within the Nillumbik Green Wedge. They are collectively referred to as the</w:t>
      </w:r>
      <w:r>
        <w:t xml:space="preserve"> </w:t>
      </w:r>
      <w:r w:rsidRPr="00272A9F">
        <w:t>Green Wedge Zones.</w:t>
      </w:r>
    </w:p>
    <w:p w:rsidR="00272A9F" w:rsidRPr="00272A9F" w:rsidRDefault="00272A9F" w:rsidP="00272A9F">
      <w:pPr>
        <w:pStyle w:val="Heading2"/>
      </w:pPr>
      <w:r w:rsidRPr="00272A9F">
        <w:t>Nillumbik Shire Council strategies</w:t>
      </w:r>
    </w:p>
    <w:p w:rsidR="00272A9F" w:rsidRPr="00272A9F" w:rsidRDefault="00272A9F" w:rsidP="00272A9F">
      <w:pPr>
        <w:rPr>
          <w:b/>
        </w:rPr>
      </w:pPr>
      <w:r w:rsidRPr="00272A9F">
        <w:rPr>
          <w:b/>
        </w:rPr>
        <w:t>Economic Development Strategy (2003)</w:t>
      </w:r>
    </w:p>
    <w:p w:rsidR="00272A9F" w:rsidRPr="00272A9F" w:rsidRDefault="00272A9F" w:rsidP="00272A9F">
      <w:r w:rsidRPr="00272A9F">
        <w:t>The Economic Development Strategy provides guidance to council in setting</w:t>
      </w:r>
      <w:r>
        <w:t xml:space="preserve"> </w:t>
      </w:r>
      <w:r w:rsidRPr="00272A9F">
        <w:t>its priorities for economic development in the shire. It is being updated in</w:t>
      </w:r>
      <w:r>
        <w:t xml:space="preserve"> </w:t>
      </w:r>
      <w:r w:rsidRPr="00272A9F">
        <w:t>2010.</w:t>
      </w:r>
    </w:p>
    <w:p w:rsidR="00272A9F" w:rsidRPr="00272A9F" w:rsidRDefault="00272A9F" w:rsidP="00272A9F">
      <w:pPr>
        <w:rPr>
          <w:b/>
        </w:rPr>
      </w:pPr>
      <w:r w:rsidRPr="00272A9F">
        <w:rPr>
          <w:b/>
        </w:rPr>
        <w:t>Environment Strategy (2001)</w:t>
      </w:r>
    </w:p>
    <w:p w:rsidR="00272A9F" w:rsidRPr="00272A9F" w:rsidRDefault="00272A9F" w:rsidP="00272A9F">
      <w:r w:rsidRPr="00272A9F">
        <w:t>The Nillumbik Environment Strategy describes council's vision and goals for</w:t>
      </w:r>
      <w:r>
        <w:t xml:space="preserve"> </w:t>
      </w:r>
      <w:r w:rsidRPr="00272A9F">
        <w:t>the environment and as such, it provides a strategic framework for many of</w:t>
      </w:r>
      <w:r>
        <w:t xml:space="preserve"> </w:t>
      </w:r>
      <w:r w:rsidRPr="00272A9F">
        <w:t>the environmental initiatives which impact on the green wedge. The</w:t>
      </w:r>
      <w:r>
        <w:t xml:space="preserve"> </w:t>
      </w:r>
      <w:r w:rsidRPr="00272A9F">
        <w:t>Environment Strategy (2001) commits to the protection of the Nillumbik Green</w:t>
      </w:r>
      <w:r>
        <w:t xml:space="preserve"> </w:t>
      </w:r>
      <w:r w:rsidRPr="00272A9F">
        <w:t>Wedge and associated biodiversity and landscape values. The strategy is</w:t>
      </w:r>
      <w:r>
        <w:t xml:space="preserve"> </w:t>
      </w:r>
      <w:r w:rsidRPr="00272A9F">
        <w:t>being reviewed in 2010. The Climate Change Action Plan (2008–2015) and</w:t>
      </w:r>
      <w:r>
        <w:t xml:space="preserve"> </w:t>
      </w:r>
      <w:r w:rsidRPr="00272A9F">
        <w:t>the Sustainable Water Management Plan (2008) replace the environment</w:t>
      </w:r>
      <w:r>
        <w:t xml:space="preserve"> </w:t>
      </w:r>
      <w:r w:rsidRPr="00272A9F">
        <w:t>strategy on an interim basis.</w:t>
      </w:r>
    </w:p>
    <w:p w:rsidR="00272A9F" w:rsidRPr="00272A9F" w:rsidRDefault="00272A9F" w:rsidP="00272A9F">
      <w:r w:rsidRPr="00272A9F">
        <w:t>The GWMP is informed by, and informs, the Climate Change Action Plan and</w:t>
      </w:r>
      <w:r>
        <w:t xml:space="preserve"> </w:t>
      </w:r>
      <w:r w:rsidRPr="00272A9F">
        <w:t>the Sustainable Water Management Plan in terms of priorities and actions. It</w:t>
      </w:r>
      <w:r>
        <w:t xml:space="preserve"> </w:t>
      </w:r>
      <w:r w:rsidRPr="00272A9F">
        <w:t>will build on the recommendations of both strategies and, if appropriate,</w:t>
      </w:r>
      <w:r>
        <w:t xml:space="preserve"> </w:t>
      </w:r>
      <w:r w:rsidRPr="00272A9F">
        <w:t>suggest modifications.</w:t>
      </w:r>
    </w:p>
    <w:p w:rsidR="00272A9F" w:rsidRPr="00272A9F" w:rsidRDefault="00272A9F" w:rsidP="00272A9F">
      <w:pPr>
        <w:rPr>
          <w:b/>
        </w:rPr>
      </w:pPr>
      <w:r w:rsidRPr="00272A9F">
        <w:rPr>
          <w:b/>
        </w:rPr>
        <w:t>Climate Change Action Plan 2008–2015 (2008)</w:t>
      </w:r>
    </w:p>
    <w:p w:rsidR="00272A9F" w:rsidRDefault="00272A9F" w:rsidP="00272A9F">
      <w:r w:rsidRPr="00272A9F">
        <w:t>Climate change and conservation of resources is an area where the Nillumbik</w:t>
      </w:r>
      <w:r>
        <w:t xml:space="preserve"> </w:t>
      </w:r>
      <w:r w:rsidRPr="00272A9F">
        <w:t>community wants to see action. This plan tackles the issues associated with</w:t>
      </w:r>
      <w:r>
        <w:t xml:space="preserve"> </w:t>
      </w:r>
      <w:r w:rsidRPr="00272A9F">
        <w:t>greenhouse gas emission through our everyday council operations as well as</w:t>
      </w:r>
      <w:r>
        <w:t xml:space="preserve"> </w:t>
      </w:r>
      <w:r w:rsidRPr="00272A9F">
        <w:t>ways in which to support the community to reduce reliance on greenhouse</w:t>
      </w:r>
      <w:r>
        <w:t xml:space="preserve"> </w:t>
      </w:r>
      <w:r w:rsidRPr="00272A9F">
        <w:t>gases. As such this plan is a key delivery mechanism for the GWMP.</w:t>
      </w:r>
    </w:p>
    <w:p w:rsidR="00272A9F" w:rsidRPr="00272A9F" w:rsidRDefault="00272A9F" w:rsidP="00272A9F">
      <w:pPr>
        <w:rPr>
          <w:b/>
        </w:rPr>
      </w:pPr>
      <w:r w:rsidRPr="00272A9F">
        <w:rPr>
          <w:b/>
        </w:rPr>
        <w:t>Sustainable Water Management Plan</w:t>
      </w:r>
    </w:p>
    <w:p w:rsidR="00272A9F" w:rsidRDefault="00272A9F" w:rsidP="00272A9F">
      <w:r w:rsidRPr="00272A9F">
        <w:t>The Nillumbik Sustainable Water Management Plan (SWMP) aims to provide</w:t>
      </w:r>
      <w:r>
        <w:t xml:space="preserve"> </w:t>
      </w:r>
      <w:r w:rsidRPr="00272A9F">
        <w:t>strategic direction for improved water management throughout the Nillumbik</w:t>
      </w:r>
      <w:r>
        <w:t xml:space="preserve"> </w:t>
      </w:r>
      <w:r w:rsidRPr="00272A9F">
        <w:t>community and council, and forms a key component of the ICLEI Water</w:t>
      </w:r>
      <w:r>
        <w:t xml:space="preserve"> </w:t>
      </w:r>
      <w:r w:rsidRPr="00272A9F">
        <w:t>Campaign™ (International Council for Local Environmental Initiatives).</w:t>
      </w:r>
    </w:p>
    <w:p w:rsidR="00272A9F" w:rsidRPr="00272A9F" w:rsidRDefault="00272A9F" w:rsidP="00272A9F">
      <w:r w:rsidRPr="00272A9F">
        <w:t>The Sustainable Water Management Plan provides council and the</w:t>
      </w:r>
      <w:r>
        <w:t xml:space="preserve"> </w:t>
      </w:r>
      <w:r w:rsidRPr="00272A9F">
        <w:t>community with a structure for building upon experiences to date and for</w:t>
      </w:r>
      <w:r>
        <w:t xml:space="preserve"> </w:t>
      </w:r>
      <w:r w:rsidRPr="00272A9F">
        <w:t>achieving greater reductions in reticulated water usage.</w:t>
      </w:r>
    </w:p>
    <w:p w:rsidR="00272A9F" w:rsidRPr="00272A9F" w:rsidRDefault="00272A9F" w:rsidP="00272A9F">
      <w:pPr>
        <w:rPr>
          <w:b/>
        </w:rPr>
      </w:pPr>
      <w:r w:rsidRPr="00272A9F">
        <w:rPr>
          <w:b/>
        </w:rPr>
        <w:t>Open Space Strategy (2005)</w:t>
      </w:r>
    </w:p>
    <w:p w:rsidR="00272A9F" w:rsidRPr="00272A9F" w:rsidRDefault="00272A9F" w:rsidP="00272A9F">
      <w:r w:rsidRPr="00272A9F">
        <w:t>This strategy defines council’s vision and strategic directions for open space</w:t>
      </w:r>
      <w:r>
        <w:t xml:space="preserve"> </w:t>
      </w:r>
      <w:r w:rsidRPr="00272A9F">
        <w:t>in the Shire of Nillumbik with emphasis on passive recreation and</w:t>
      </w:r>
      <w:r>
        <w:t xml:space="preserve"> </w:t>
      </w:r>
      <w:r w:rsidRPr="00272A9F">
        <w:t xml:space="preserve">conservation. It aims to coordinate </w:t>
      </w:r>
      <w:r w:rsidRPr="00272A9F">
        <w:lastRenderedPageBreak/>
        <w:t>actions arising from state, regional and</w:t>
      </w:r>
      <w:r>
        <w:t xml:space="preserve"> </w:t>
      </w:r>
      <w:r w:rsidRPr="00272A9F">
        <w:t>local policies that impact on Nillumbik’s open space. It covers both urban and</w:t>
      </w:r>
      <w:r>
        <w:t xml:space="preserve"> </w:t>
      </w:r>
      <w:r w:rsidRPr="00272A9F">
        <w:t>rural areas of the shire and centres on three types of open space: reserves</w:t>
      </w:r>
      <w:r>
        <w:t xml:space="preserve"> </w:t>
      </w:r>
      <w:r w:rsidRPr="00272A9F">
        <w:t>(land accessible to the public for recreation), nodes (popular destinations e.g.</w:t>
      </w:r>
      <w:r>
        <w:t xml:space="preserve"> </w:t>
      </w:r>
      <w:r w:rsidRPr="00272A9F">
        <w:t>miniature railway at Eltham Lower Park) and trails (linking together the</w:t>
      </w:r>
      <w:r>
        <w:t xml:space="preserve"> </w:t>
      </w:r>
      <w:r w:rsidRPr="00272A9F">
        <w:t>reserves and the nodes).</w:t>
      </w:r>
    </w:p>
    <w:p w:rsidR="00272A9F" w:rsidRPr="00272A9F" w:rsidRDefault="00272A9F" w:rsidP="00272A9F">
      <w:r w:rsidRPr="00272A9F">
        <w:t>The open space network is largely in place and this strategy looks at how it</w:t>
      </w:r>
      <w:r>
        <w:t xml:space="preserve"> </w:t>
      </w:r>
      <w:r w:rsidRPr="00272A9F">
        <w:t>can be enhanced and, in some cases, extended. The strategy is based on five</w:t>
      </w:r>
      <w:r>
        <w:t xml:space="preserve"> </w:t>
      </w:r>
      <w:r w:rsidRPr="00272A9F">
        <w:t>guiding principles one of which is ‘sustainability’ and commits to protecting areas of environmental value including remnant vegetation, habitat,</w:t>
      </w:r>
      <w:r>
        <w:t xml:space="preserve"> </w:t>
      </w:r>
      <w:r w:rsidRPr="00272A9F">
        <w:t>waterways, cultural heritage and areas of ‘landscape significance’ (p. iii). In</w:t>
      </w:r>
      <w:r>
        <w:t xml:space="preserve"> </w:t>
      </w:r>
      <w:r w:rsidRPr="00272A9F">
        <w:t>the rural areas the emphasis is on ‘…enhancing and developing open space</w:t>
      </w:r>
      <w:r>
        <w:t xml:space="preserve"> </w:t>
      </w:r>
      <w:r w:rsidRPr="00272A9F">
        <w:t>within townships and settlements, protecting native flora and fauna…’ Specific</w:t>
      </w:r>
      <w:r>
        <w:t xml:space="preserve"> </w:t>
      </w:r>
      <w:r w:rsidRPr="00272A9F">
        <w:t>actions for rural open space are detailed on pages 4–9 of the strategy.</w:t>
      </w:r>
    </w:p>
    <w:p w:rsidR="00272A9F" w:rsidRPr="00272A9F" w:rsidRDefault="00272A9F" w:rsidP="00272A9F">
      <w:r w:rsidRPr="00272A9F">
        <w:t>Cultural heritage is recognised as a forming influence on the Nillumbik</w:t>
      </w:r>
      <w:r>
        <w:t xml:space="preserve"> </w:t>
      </w:r>
      <w:r w:rsidRPr="00272A9F">
        <w:t>landscape and the strategy highlights both Aboriginal and European heritage</w:t>
      </w:r>
      <w:r>
        <w:t xml:space="preserve"> </w:t>
      </w:r>
      <w:r w:rsidRPr="00272A9F">
        <w:t>and the desire to protect and interpret sites (pp. 26–27).</w:t>
      </w:r>
    </w:p>
    <w:p w:rsidR="00272A9F" w:rsidRPr="00272A9F" w:rsidRDefault="00272A9F" w:rsidP="00272A9F">
      <w:r w:rsidRPr="00272A9F">
        <w:t>The actions of this strategy contribute to delivery of the GWMP in promoting</w:t>
      </w:r>
      <w:r>
        <w:t xml:space="preserve"> </w:t>
      </w:r>
      <w:r w:rsidRPr="00272A9F">
        <w:t>access to, and understanding of, Nillumbik’s environment.</w:t>
      </w:r>
    </w:p>
    <w:p w:rsidR="00272A9F" w:rsidRPr="002551E6" w:rsidRDefault="00272A9F" w:rsidP="00272A9F">
      <w:pPr>
        <w:rPr>
          <w:b/>
        </w:rPr>
      </w:pPr>
      <w:r w:rsidRPr="002551E6">
        <w:rPr>
          <w:b/>
        </w:rPr>
        <w:t>Roadside Management Strategy (1997)</w:t>
      </w:r>
    </w:p>
    <w:p w:rsidR="002551E6" w:rsidRDefault="00272A9F" w:rsidP="00272A9F">
      <w:r w:rsidRPr="00272A9F">
        <w:t>The aim of this strategy is to maintain and enhance the environmental,</w:t>
      </w:r>
      <w:r w:rsidR="002551E6">
        <w:t xml:space="preserve"> </w:t>
      </w:r>
      <w:r w:rsidRPr="00272A9F">
        <w:t>historical and landscape values of Nillumbik’s roadsides as well as providing</w:t>
      </w:r>
      <w:r w:rsidR="002551E6">
        <w:t xml:space="preserve"> </w:t>
      </w:r>
      <w:r w:rsidRPr="00272A9F">
        <w:t>service corridors for utilities such as sewerage and electricity. This strategy</w:t>
      </w:r>
      <w:r w:rsidR="002551E6">
        <w:t xml:space="preserve"> </w:t>
      </w:r>
      <w:r w:rsidRPr="00272A9F">
        <w:t>will be reviewed in 2010 following the February 2009 bushfires.</w:t>
      </w:r>
    </w:p>
    <w:p w:rsidR="00272A9F" w:rsidRPr="002551E6" w:rsidRDefault="00272A9F" w:rsidP="00272A9F">
      <w:pPr>
        <w:rPr>
          <w:b/>
        </w:rPr>
      </w:pPr>
      <w:r w:rsidRPr="002551E6">
        <w:rPr>
          <w:b/>
        </w:rPr>
        <w:t>Recreation Trails Strategy (2007)</w:t>
      </w:r>
    </w:p>
    <w:p w:rsidR="00272A9F" w:rsidRDefault="00272A9F" w:rsidP="00272A9F">
      <w:r w:rsidRPr="00272A9F">
        <w:t>This strategy focuses on the provision and development of recreation trails in</w:t>
      </w:r>
      <w:r w:rsidR="002551E6">
        <w:t xml:space="preserve"> </w:t>
      </w:r>
      <w:r w:rsidRPr="00272A9F">
        <w:t>the Shire of Nillumbik, including green wedge areas. Its focus is on delivering</w:t>
      </w:r>
      <w:r w:rsidR="002551E6">
        <w:t xml:space="preserve"> </w:t>
      </w:r>
      <w:r w:rsidRPr="00272A9F">
        <w:t>council’s commitment to enhancing the wellbeing of communities through</w:t>
      </w:r>
      <w:r w:rsidR="002551E6">
        <w:t xml:space="preserve"> </w:t>
      </w:r>
      <w:r w:rsidRPr="00272A9F">
        <w:t>providing access to physical activity. The strategy is under review in 2010 and</w:t>
      </w:r>
      <w:r w:rsidR="002551E6">
        <w:t xml:space="preserve"> </w:t>
      </w:r>
      <w:r w:rsidRPr="00272A9F">
        <w:t>the strategies and consultation inputs from the GWMP will be considered by</w:t>
      </w:r>
      <w:r w:rsidR="002551E6">
        <w:t xml:space="preserve"> </w:t>
      </w:r>
      <w:r w:rsidRPr="00272A9F">
        <w:t>the consultant undertaking the review. The Recreation Trails Strategy is</w:t>
      </w:r>
      <w:r w:rsidR="002551E6">
        <w:t xml:space="preserve"> </w:t>
      </w:r>
      <w:r w:rsidRPr="00272A9F">
        <w:t>important for delivering social, environmental and economic objectives of the</w:t>
      </w:r>
      <w:r w:rsidR="002551E6">
        <w:t xml:space="preserve"> </w:t>
      </w:r>
      <w:r w:rsidRPr="00272A9F">
        <w:t>GWMP.</w:t>
      </w:r>
    </w:p>
    <w:p w:rsidR="002551E6" w:rsidRDefault="002551E6">
      <w:r>
        <w:br w:type="page"/>
      </w:r>
    </w:p>
    <w:p w:rsidR="002551E6" w:rsidRPr="002551E6" w:rsidRDefault="002551E6" w:rsidP="002551E6">
      <w:pPr>
        <w:pStyle w:val="Heading1"/>
      </w:pPr>
      <w:r w:rsidRPr="002551E6">
        <w:lastRenderedPageBreak/>
        <w:t>Challenges and issues</w:t>
      </w:r>
    </w:p>
    <w:p w:rsidR="002551E6" w:rsidRPr="002551E6" w:rsidRDefault="002551E6" w:rsidP="002551E6">
      <w:r w:rsidRPr="002551E6">
        <w:t>This section of the GWMP summarises key challenges for the Nillumbik</w:t>
      </w:r>
      <w:r>
        <w:t xml:space="preserve"> </w:t>
      </w:r>
      <w:r w:rsidRPr="002551E6">
        <w:t>Green Wedge and their likely impact.</w:t>
      </w:r>
    </w:p>
    <w:p w:rsidR="002551E6" w:rsidRPr="002551E6" w:rsidRDefault="002551E6" w:rsidP="002551E6">
      <w:pPr>
        <w:rPr>
          <w:b/>
        </w:rPr>
      </w:pPr>
      <w:r w:rsidRPr="002551E6">
        <w:rPr>
          <w:b/>
        </w:rPr>
        <w:t>Identifying the challenges</w:t>
      </w:r>
    </w:p>
    <w:p w:rsidR="002551E6" w:rsidRPr="002551E6" w:rsidRDefault="002551E6" w:rsidP="002551E6">
      <w:r w:rsidRPr="002551E6">
        <w:t>These issues were identified through research for the Green Wedge</w:t>
      </w:r>
      <w:r>
        <w:t xml:space="preserve"> </w:t>
      </w:r>
      <w:r w:rsidRPr="002551E6">
        <w:t>Background and Issues Paper (Nillumbik Shire Council 2006), consultation</w:t>
      </w:r>
      <w:r>
        <w:t xml:space="preserve"> </w:t>
      </w:r>
      <w:r w:rsidRPr="002551E6">
        <w:t>and economics research carried out by council in 2008. Strategies and</w:t>
      </w:r>
      <w:r>
        <w:t xml:space="preserve"> </w:t>
      </w:r>
      <w:r w:rsidRPr="002551E6">
        <w:t>actions for addressing the challenges are in Part 2 of this document.</w:t>
      </w:r>
    </w:p>
    <w:p w:rsidR="002551E6" w:rsidRPr="002551E6" w:rsidRDefault="002551E6" w:rsidP="002551E6">
      <w:r w:rsidRPr="002551E6">
        <w:t>The Nillumbik Green Wedge faces many challe</w:t>
      </w:r>
      <w:r>
        <w:t xml:space="preserve">nges. These range from the </w:t>
      </w:r>
      <w:r w:rsidRPr="002551E6">
        <w:t>local impacts of global concerns such as climate change and peak oil, to</w:t>
      </w:r>
      <w:r>
        <w:t xml:space="preserve"> </w:t>
      </w:r>
      <w:r w:rsidRPr="002551E6">
        <w:t>locally expressed concerns about rural versus urban living; population decline;</w:t>
      </w:r>
      <w:r>
        <w:t xml:space="preserve"> </w:t>
      </w:r>
      <w:r w:rsidRPr="002551E6">
        <w:t>environmental and agricultural viability; the economic role of traditional</w:t>
      </w:r>
      <w:r>
        <w:t xml:space="preserve"> </w:t>
      </w:r>
      <w:r w:rsidRPr="002551E6">
        <w:t>agriculture and the opportunities and challenges presented by tourism.</w:t>
      </w:r>
    </w:p>
    <w:p w:rsidR="002551E6" w:rsidRPr="002551E6" w:rsidRDefault="002551E6" w:rsidP="002551E6">
      <w:r w:rsidRPr="002551E6">
        <w:t>We need to acknowledge these challenges, recognise opportunities they</w:t>
      </w:r>
      <w:r>
        <w:t xml:space="preserve"> </w:t>
      </w:r>
      <w:r w:rsidRPr="002551E6">
        <w:t>might present and understand where council and the community can have an</w:t>
      </w:r>
      <w:r>
        <w:t xml:space="preserve"> </w:t>
      </w:r>
      <w:r w:rsidRPr="002551E6">
        <w:t>influence (and where they cannot.) We need to manage change in a positive</w:t>
      </w:r>
      <w:r>
        <w:t xml:space="preserve"> </w:t>
      </w:r>
      <w:r w:rsidRPr="002551E6">
        <w:t>and proactive way, to think globally and act locally.</w:t>
      </w:r>
    </w:p>
    <w:p w:rsidR="002551E6" w:rsidRPr="002551E6" w:rsidRDefault="002551E6" w:rsidP="002551E6">
      <w:r w:rsidRPr="002551E6">
        <w:t>Former Victorian Commissioner for Sustainability, Ian McPhail, believes local</w:t>
      </w:r>
      <w:r>
        <w:t xml:space="preserve"> </w:t>
      </w:r>
      <w:r w:rsidRPr="002551E6">
        <w:t>governments can make a difference:</w:t>
      </w:r>
    </w:p>
    <w:p w:rsidR="002551E6" w:rsidRPr="002551E6" w:rsidRDefault="002551E6" w:rsidP="002551E6">
      <w:r w:rsidRPr="002551E6">
        <w:t>This level of government [local] has a very immediate role</w:t>
      </w:r>
      <w:r>
        <w:t xml:space="preserve"> in </w:t>
      </w:r>
      <w:r w:rsidRPr="002551E6">
        <w:t>shaping the local environment through urban planning, open</w:t>
      </w:r>
      <w:r>
        <w:t xml:space="preserve"> </w:t>
      </w:r>
      <w:r w:rsidRPr="002551E6">
        <w:t>space design and maintenance, and waste management (2008,</w:t>
      </w:r>
      <w:r>
        <w:t xml:space="preserve"> </w:t>
      </w:r>
      <w:r w:rsidRPr="002551E6">
        <w:t>p. 45).</w:t>
      </w:r>
    </w:p>
    <w:p w:rsidR="002551E6" w:rsidRPr="002551E6" w:rsidRDefault="002551E6" w:rsidP="002551E6">
      <w:r w:rsidRPr="002551E6">
        <w:t>Taking the challenges and local issues and combining them with what the</w:t>
      </w:r>
      <w:r>
        <w:t xml:space="preserve"> </w:t>
      </w:r>
      <w:r w:rsidRPr="002551E6">
        <w:t>community values about the Nillumbik Green Wedge produces a series of</w:t>
      </w:r>
      <w:r>
        <w:t xml:space="preserve"> </w:t>
      </w:r>
      <w:r w:rsidRPr="002551E6">
        <w:t>areas on which the GWMP concentrates its focus. These are as follows.</w:t>
      </w:r>
    </w:p>
    <w:p w:rsidR="002551E6" w:rsidRPr="002551E6" w:rsidRDefault="002551E6" w:rsidP="002551E6">
      <w:pPr>
        <w:pStyle w:val="Heading2"/>
      </w:pPr>
      <w:r w:rsidRPr="002551E6">
        <w:t>Climate change and greenhouse gas emissions</w:t>
      </w:r>
    </w:p>
    <w:p w:rsidR="002551E6" w:rsidRPr="002551E6" w:rsidRDefault="002551E6" w:rsidP="002551E6">
      <w:r w:rsidRPr="002551E6">
        <w:t>Victoria has an ecological footprint three times the world average: ‘If everyone</w:t>
      </w:r>
      <w:r>
        <w:t xml:space="preserve"> </w:t>
      </w:r>
      <w:r w:rsidRPr="002551E6">
        <w:t>lived like Victorians, almost four planets would be needed…Victorians’ way of</w:t>
      </w:r>
      <w:r>
        <w:t xml:space="preserve"> </w:t>
      </w:r>
      <w:r w:rsidRPr="002551E6">
        <w:t>life is not sustainable’ (Commissioner Environment and Sustainability 2008,</w:t>
      </w:r>
      <w:r>
        <w:t xml:space="preserve"> </w:t>
      </w:r>
      <w:r w:rsidRPr="002551E6">
        <w:t>p. 4).</w:t>
      </w:r>
    </w:p>
    <w:p w:rsidR="002551E6" w:rsidRDefault="002551E6" w:rsidP="002551E6">
      <w:r w:rsidRPr="002551E6">
        <w:t>Scientific evidence from the Intergovernmental Panel on Climate Change</w:t>
      </w:r>
      <w:r>
        <w:t xml:space="preserve"> </w:t>
      </w:r>
      <w:r w:rsidRPr="002551E6">
        <w:t>(IPCC), the Hadley Centre for Climate Change and Research and the UK’s</w:t>
      </w:r>
      <w:r>
        <w:t xml:space="preserve"> </w:t>
      </w:r>
      <w:r w:rsidRPr="002551E6">
        <w:t>Stern Review indicates that global temperatures are rising as a result of</w:t>
      </w:r>
      <w:r>
        <w:t xml:space="preserve"> </w:t>
      </w:r>
      <w:r w:rsidRPr="002551E6">
        <w:t>human-induced greenhouse gas emissions adding to the levels of carbon</w:t>
      </w:r>
      <w:r>
        <w:t xml:space="preserve"> </w:t>
      </w:r>
      <w:r w:rsidRPr="002551E6">
        <w:t>dioxide in the earth’s atmosphere. It is crucial to remove excess greenhouse</w:t>
      </w:r>
      <w:r>
        <w:t xml:space="preserve"> </w:t>
      </w:r>
      <w:r w:rsidRPr="002551E6">
        <w:t>gas from the atmosphere over the next 10 years (Nillumbik Shire Council</w:t>
      </w:r>
      <w:r>
        <w:t xml:space="preserve"> </w:t>
      </w:r>
      <w:r w:rsidRPr="002551E6">
        <w:t>2008, p, 8).</w:t>
      </w:r>
    </w:p>
    <w:p w:rsidR="002551E6" w:rsidRPr="002551E6" w:rsidRDefault="002551E6" w:rsidP="002551E6">
      <w:r w:rsidRPr="002551E6">
        <w:t xml:space="preserve">In the Nillumbik Green Wedge, climate change is having an impact on </w:t>
      </w:r>
      <w:proofErr w:type="spellStart"/>
      <w:r w:rsidRPr="002551E6">
        <w:t>landuse</w:t>
      </w:r>
      <w:proofErr w:type="spellEnd"/>
      <w:r w:rsidRPr="002551E6">
        <w:t>,</w:t>
      </w:r>
      <w:r>
        <w:t xml:space="preserve"> </w:t>
      </w:r>
      <w:r w:rsidRPr="002551E6">
        <w:t>water, agriculture and horticulture, on the environment as a whole and on</w:t>
      </w:r>
      <w:r>
        <w:t xml:space="preserve"> </w:t>
      </w:r>
      <w:r w:rsidRPr="002551E6">
        <w:t>the quality of life and wellbeing of residents. Council and the Nillumbik</w:t>
      </w:r>
      <w:r>
        <w:t xml:space="preserve"> </w:t>
      </w:r>
      <w:r w:rsidRPr="002551E6">
        <w:t xml:space="preserve">community have an opportunity to adopt </w:t>
      </w:r>
      <w:r w:rsidRPr="002551E6">
        <w:lastRenderedPageBreak/>
        <w:t>best practice on a local basis to</w:t>
      </w:r>
      <w:r>
        <w:t xml:space="preserve"> </w:t>
      </w:r>
      <w:r w:rsidRPr="002551E6">
        <w:t>address it. Council’s Climate Action Plan (2008) identifies the following</w:t>
      </w:r>
      <w:r>
        <w:t xml:space="preserve"> </w:t>
      </w:r>
      <w:r w:rsidRPr="002551E6">
        <w:t>impacts on the Shire of Nillumbik and its green wedge: reduced rainfall and</w:t>
      </w:r>
      <w:r>
        <w:t xml:space="preserve"> </w:t>
      </w:r>
      <w:r w:rsidRPr="002551E6">
        <w:t>drought conditions, increased temperature extremes and more extreme</w:t>
      </w:r>
      <w:r>
        <w:t xml:space="preserve"> </w:t>
      </w:r>
      <w:r w:rsidRPr="002551E6">
        <w:t>weather events (Nillumbik Shire Council 2008 pp. 7–9). These climatic</w:t>
      </w:r>
      <w:r>
        <w:t xml:space="preserve"> </w:t>
      </w:r>
      <w:r w:rsidRPr="002551E6">
        <w:t>changes will result in a range of local impacts including increased fire risk; the</w:t>
      </w:r>
      <w:r>
        <w:t xml:space="preserve"> </w:t>
      </w:r>
      <w:r w:rsidRPr="002551E6">
        <w:t>loss of gardens; deterioration of parks and sporting ovals; higher food prices;</w:t>
      </w:r>
      <w:r>
        <w:t xml:space="preserve"> </w:t>
      </w:r>
      <w:r w:rsidRPr="002551E6">
        <w:t>damage to property (e.g. to foundations); decrease in run-off and stream flow;</w:t>
      </w:r>
      <w:r>
        <w:t xml:space="preserve"> </w:t>
      </w:r>
      <w:r w:rsidRPr="002551E6">
        <w:t>impacts on agricultural production; more vulnerability to weed and pest</w:t>
      </w:r>
      <w:r>
        <w:t xml:space="preserve"> </w:t>
      </w:r>
      <w:r w:rsidRPr="002551E6">
        <w:t>invasion; loss of plant and animal species; higher energy costs; risks of</w:t>
      </w:r>
      <w:r>
        <w:t xml:space="preserve"> </w:t>
      </w:r>
      <w:r w:rsidRPr="002551E6">
        <w:t>energy blackouts; heat stress particularly in the elderly and vulnerable;</w:t>
      </w:r>
      <w:r>
        <w:t xml:space="preserve"> </w:t>
      </w:r>
      <w:r w:rsidRPr="002551E6">
        <w:t>increased risk of harm to people and property; increased risk of water</w:t>
      </w:r>
      <w:r>
        <w:t xml:space="preserve"> </w:t>
      </w:r>
      <w:r w:rsidRPr="002551E6">
        <w:t>catchment damage.</w:t>
      </w:r>
    </w:p>
    <w:p w:rsidR="002551E6" w:rsidRPr="002551E6" w:rsidRDefault="002551E6" w:rsidP="002551E6">
      <w:r w:rsidRPr="002551E6">
        <w:t>Management of fire risk in the Nillumbik Green Wedge is a significant issue.</w:t>
      </w:r>
      <w:r>
        <w:t xml:space="preserve"> </w:t>
      </w:r>
      <w:r w:rsidRPr="002551E6">
        <w:t>The combination of extensive vegetation cover, the orientation of steep</w:t>
      </w:r>
      <w:r>
        <w:t xml:space="preserve"> </w:t>
      </w:r>
      <w:r w:rsidRPr="002551E6">
        <w:t>sloping land and prevailing winds make serious bushfire a primary threat in</w:t>
      </w:r>
      <w:r>
        <w:t xml:space="preserve"> </w:t>
      </w:r>
      <w:r w:rsidRPr="002551E6">
        <w:t>the green wedge (Nillumbik Shire Council 2006, p. 45). The recommendations</w:t>
      </w:r>
      <w:r>
        <w:t xml:space="preserve"> </w:t>
      </w:r>
      <w:r w:rsidRPr="002551E6">
        <w:t>of the Royal Commission into the February 2009 bushfires are important.</w:t>
      </w:r>
    </w:p>
    <w:p w:rsidR="002551E6" w:rsidRPr="002551E6" w:rsidRDefault="002551E6" w:rsidP="002551E6">
      <w:r w:rsidRPr="002551E6">
        <w:t>The management of weeds and other pests is a major issue. Managing the</w:t>
      </w:r>
      <w:r>
        <w:t xml:space="preserve"> </w:t>
      </w:r>
      <w:r w:rsidRPr="002551E6">
        <w:t>environment is the responsibility of all landowners and not just council and</w:t>
      </w:r>
      <w:r>
        <w:t xml:space="preserve"> </w:t>
      </w:r>
      <w:r w:rsidRPr="002551E6">
        <w:t>public agencies. The effectiveness of programmes and initiatives for</w:t>
      </w:r>
      <w:r>
        <w:t xml:space="preserve"> </w:t>
      </w:r>
      <w:r w:rsidRPr="002551E6">
        <w:t>environmental management must be assessed. The rate relief for farmers and</w:t>
      </w:r>
      <w:r>
        <w:t xml:space="preserve"> </w:t>
      </w:r>
      <w:r w:rsidRPr="002551E6">
        <w:t>grant programs are considered by recipients to be nominal and have little</w:t>
      </w:r>
      <w:r>
        <w:t xml:space="preserve"> </w:t>
      </w:r>
      <w:r w:rsidRPr="002551E6">
        <w:t>effect on land management practices.</w:t>
      </w:r>
    </w:p>
    <w:p w:rsidR="002551E6" w:rsidRPr="002551E6" w:rsidRDefault="002551E6" w:rsidP="002551E6">
      <w:r w:rsidRPr="002551E6">
        <w:t>In summary, climate change will have, and is having, varied impacts on the</w:t>
      </w:r>
      <w:r>
        <w:t xml:space="preserve"> </w:t>
      </w:r>
      <w:r w:rsidRPr="002551E6">
        <w:t>Nillumbik Green Wedge which need to be addressed as a priority. All people</w:t>
      </w:r>
      <w:r>
        <w:t xml:space="preserve"> </w:t>
      </w:r>
      <w:r w:rsidRPr="002551E6">
        <w:t>in the Nillumbik Green Wedge need to recognise the impacts of climate</w:t>
      </w:r>
      <w:r>
        <w:t xml:space="preserve"> </w:t>
      </w:r>
      <w:r w:rsidRPr="002551E6">
        <w:t>change in the way they live and the choices they make.</w:t>
      </w:r>
    </w:p>
    <w:p w:rsidR="002551E6" w:rsidRPr="002551E6" w:rsidRDefault="002551E6" w:rsidP="002551E6">
      <w:pPr>
        <w:pStyle w:val="Heading2"/>
      </w:pPr>
      <w:r w:rsidRPr="002551E6">
        <w:t>Population change and housing and services</w:t>
      </w:r>
    </w:p>
    <w:p w:rsidR="002551E6" w:rsidRPr="002551E6" w:rsidRDefault="002551E6" w:rsidP="002551E6">
      <w:r w:rsidRPr="002551E6">
        <w:t>According to estimates based on the Australian Bureau of Statistics (ABS)</w:t>
      </w:r>
      <w:r>
        <w:t xml:space="preserve"> </w:t>
      </w:r>
      <w:r w:rsidRPr="002551E6">
        <w:t>2006 Census data, the population of the Nillumbik Green Wedge is</w:t>
      </w:r>
      <w:r>
        <w:t xml:space="preserve"> </w:t>
      </w:r>
      <w:r w:rsidRPr="002551E6">
        <w:t>approximately 17 750 with 10 450 people in the rural areas and 7300 in the</w:t>
      </w:r>
      <w:r>
        <w:t xml:space="preserve"> </w:t>
      </w:r>
      <w:r w:rsidRPr="002551E6">
        <w:t>towns.</w:t>
      </w:r>
    </w:p>
    <w:p w:rsidR="002551E6" w:rsidRDefault="002551E6" w:rsidP="002551E6">
      <w:r w:rsidRPr="002551E6">
        <w:t>Currently, the Nillumbik Green Wedge has a slightly older age profile than the</w:t>
      </w:r>
      <w:r>
        <w:t xml:space="preserve"> </w:t>
      </w:r>
      <w:r w:rsidRPr="002551E6">
        <w:t>Shire of Nillumbik as a whole, but younger than metropolitan Melbourne.</w:t>
      </w:r>
      <w:r>
        <w:t xml:space="preserve"> </w:t>
      </w:r>
      <w:r w:rsidRPr="002551E6">
        <w:t>Projections show a significant ageing of the population to the year 2031 when</w:t>
      </w:r>
      <w:r>
        <w:t xml:space="preserve"> </w:t>
      </w:r>
      <w:r w:rsidRPr="002551E6">
        <w:t>it is estimated that 21 per cent of Nillumbik residents will be over 65 years old</w:t>
      </w:r>
      <w:r>
        <w:t xml:space="preserve"> </w:t>
      </w:r>
      <w:r w:rsidRPr="002551E6">
        <w:t>in contrast to the current figure of nine per cent (Essential Economics 2008,</w:t>
      </w:r>
      <w:r>
        <w:t xml:space="preserve"> </w:t>
      </w:r>
      <w:r w:rsidRPr="002551E6">
        <w:t>pp. iv, 16– 17). This has particular implications for provision of housing, and</w:t>
      </w:r>
      <w:r>
        <w:t xml:space="preserve"> </w:t>
      </w:r>
      <w:r w:rsidRPr="002551E6">
        <w:t>demand for services such as health care.</w:t>
      </w:r>
    </w:p>
    <w:p w:rsidR="002551E6" w:rsidRPr="002551E6" w:rsidRDefault="002551E6" w:rsidP="002551E6">
      <w:r w:rsidRPr="002551E6">
        <w:t>In addition to ageing, the Nillumbik Green Wedge population is also expected</w:t>
      </w:r>
      <w:r>
        <w:t xml:space="preserve"> </w:t>
      </w:r>
      <w:r w:rsidRPr="002551E6">
        <w:t xml:space="preserve">to decline over the next 25 years, with most </w:t>
      </w:r>
      <w:proofErr w:type="gramStart"/>
      <w:r w:rsidRPr="002551E6">
        <w:t>decline</w:t>
      </w:r>
      <w:proofErr w:type="gramEnd"/>
      <w:r w:rsidRPr="002551E6">
        <w:t xml:space="preserve"> in the townships (from</w:t>
      </w:r>
      <w:r>
        <w:t xml:space="preserve"> </w:t>
      </w:r>
      <w:r w:rsidRPr="002551E6">
        <w:t>7300 to 6180 by 2031). This has social and economic implications, notably for</w:t>
      </w:r>
      <w:r>
        <w:t xml:space="preserve"> </w:t>
      </w:r>
      <w:r w:rsidRPr="002551E6">
        <w:t>retaining local services such as schools, sports grounds and clubs, stores,</w:t>
      </w:r>
      <w:r>
        <w:t xml:space="preserve"> </w:t>
      </w:r>
      <w:r w:rsidRPr="002551E6">
        <w:t>pubs and local employment. Conversely, the number of households is</w:t>
      </w:r>
      <w:r>
        <w:t xml:space="preserve"> </w:t>
      </w:r>
      <w:r w:rsidRPr="002551E6">
        <w:t>expected to grow from 5510 in 2006 to 5825 in 2016 and 6160 in 2031</w:t>
      </w:r>
      <w:r>
        <w:t xml:space="preserve"> </w:t>
      </w:r>
      <w:r w:rsidRPr="002551E6">
        <w:t>following the wider trend for smaller households. (Essential Economics 2008,</w:t>
      </w:r>
      <w:r>
        <w:t xml:space="preserve"> </w:t>
      </w:r>
      <w:r w:rsidRPr="002551E6">
        <w:t xml:space="preserve">p. </w:t>
      </w:r>
      <w:proofErr w:type="gramStart"/>
      <w:r w:rsidRPr="002551E6">
        <w:t>iv</w:t>
      </w:r>
      <w:proofErr w:type="gramEnd"/>
      <w:r w:rsidRPr="002551E6">
        <w:t>).</w:t>
      </w:r>
    </w:p>
    <w:p w:rsidR="002551E6" w:rsidRPr="002551E6" w:rsidRDefault="002551E6" w:rsidP="002551E6">
      <w:r w:rsidRPr="002551E6">
        <w:lastRenderedPageBreak/>
        <w:t>While the population in the Nillumbik Green Wedge is expected to decline, the</w:t>
      </w:r>
      <w:r>
        <w:t xml:space="preserve"> </w:t>
      </w:r>
      <w:r w:rsidRPr="002551E6">
        <w:t>population of Melbourne and, particularly Whittlesea on the Shire’s western</w:t>
      </w:r>
      <w:r>
        <w:t xml:space="preserve"> </w:t>
      </w:r>
      <w:r w:rsidRPr="002551E6">
        <w:t>boundary, will increase. In Whittlesea, the population is expected to nearly</w:t>
      </w:r>
      <w:r>
        <w:t xml:space="preserve"> </w:t>
      </w:r>
      <w:r w:rsidRPr="002551E6">
        <w:t>double in the next 20 years from 132 155 to 220 000 by 2030 as the city</w:t>
      </w:r>
      <w:r>
        <w:t xml:space="preserve"> </w:t>
      </w:r>
      <w:r w:rsidRPr="002551E6">
        <w:t>becomes Victoria’s fastest growing municipality (Whittlesea City Council,</w:t>
      </w:r>
      <w:r>
        <w:t xml:space="preserve"> </w:t>
      </w:r>
      <w:r w:rsidRPr="002551E6">
        <w:t>2008). Of the one million people projected to settle in Melbourne over the next</w:t>
      </w:r>
      <w:r>
        <w:t xml:space="preserve"> </w:t>
      </w:r>
      <w:r w:rsidRPr="002551E6">
        <w:t>30 years 8.78 per cent will be in Whittlesea.</w:t>
      </w:r>
    </w:p>
    <w:p w:rsidR="002551E6" w:rsidRPr="002551E6" w:rsidRDefault="002551E6" w:rsidP="002551E6">
      <w:r w:rsidRPr="002551E6">
        <w:t>More people produce more demand for services, recreation opportunities,</w:t>
      </w:r>
      <w:r>
        <w:t xml:space="preserve"> </w:t>
      </w:r>
      <w:r w:rsidRPr="002551E6">
        <w:t>water and transport and will mean higher car use and consequent pollution.</w:t>
      </w:r>
      <w:r>
        <w:t xml:space="preserve"> </w:t>
      </w:r>
      <w:r w:rsidRPr="002551E6">
        <w:t>This increase in Melbourne’s population could be seen as a threat to the</w:t>
      </w:r>
      <w:r>
        <w:t xml:space="preserve"> </w:t>
      </w:r>
      <w:r w:rsidRPr="002551E6">
        <w:t>integrity of the Nillumbik Green Wedge environment and sense of place but it</w:t>
      </w:r>
      <w:r>
        <w:t xml:space="preserve"> </w:t>
      </w:r>
      <w:r w:rsidRPr="002551E6">
        <w:t>could also be an opportunity. For example, it could mean more custom for</w:t>
      </w:r>
      <w:r>
        <w:t xml:space="preserve"> </w:t>
      </w:r>
      <w:r w:rsidRPr="002551E6">
        <w:t>local businesses, including tourism destinations, and advocates for the value</w:t>
      </w:r>
      <w:r>
        <w:t xml:space="preserve"> </w:t>
      </w:r>
      <w:r w:rsidRPr="002551E6">
        <w:t>of the Nillumbik Green Wedge.</w:t>
      </w:r>
    </w:p>
    <w:p w:rsidR="002551E6" w:rsidRPr="002551E6" w:rsidRDefault="002551E6" w:rsidP="002551E6">
      <w:r w:rsidRPr="002551E6">
        <w:t>Incremental development through an expansion in rural residential living</w:t>
      </w:r>
      <w:r>
        <w:t xml:space="preserve"> </w:t>
      </w:r>
      <w:r w:rsidRPr="002551E6">
        <w:t>represents a potential threat to environmental and agricultural values and to</w:t>
      </w:r>
      <w:r>
        <w:t xml:space="preserve"> </w:t>
      </w:r>
      <w:r w:rsidRPr="002551E6">
        <w:t>the visual landscape. In particular, there is concern about the remaining</w:t>
      </w:r>
      <w:r>
        <w:t xml:space="preserve"> </w:t>
      </w:r>
      <w:r w:rsidRPr="002551E6">
        <w:t>undeveloped lots in the Nillumbik Green Wedge which are already below the</w:t>
      </w:r>
      <w:r>
        <w:t xml:space="preserve"> </w:t>
      </w:r>
      <w:r w:rsidRPr="002551E6">
        <w:t>minimum sub-division and could, potentially, have houses on them. Concerns</w:t>
      </w:r>
      <w:r>
        <w:t xml:space="preserve"> </w:t>
      </w:r>
      <w:r w:rsidRPr="002551E6">
        <w:t>relate to whether this type of development reduces agricultural viability where</w:t>
      </w:r>
      <w:r>
        <w:t xml:space="preserve"> </w:t>
      </w:r>
      <w:r w:rsidRPr="002551E6">
        <w:t>land is cleared and environmental values where it is not.</w:t>
      </w:r>
    </w:p>
    <w:p w:rsidR="002551E6" w:rsidRPr="002551E6" w:rsidRDefault="002551E6" w:rsidP="002551E6">
      <w:r w:rsidRPr="002551E6">
        <w:t>There is a perceived lack of understanding by some new (previously urban)</w:t>
      </w:r>
      <w:r>
        <w:t xml:space="preserve"> </w:t>
      </w:r>
      <w:r w:rsidRPr="002551E6">
        <w:t>residents and visitors about the responsibility and reality of living in the</w:t>
      </w:r>
      <w:r>
        <w:t xml:space="preserve"> </w:t>
      </w:r>
      <w:r w:rsidRPr="002551E6">
        <w:t>Nillumbik Green Wedge.</w:t>
      </w:r>
    </w:p>
    <w:p w:rsidR="002551E6" w:rsidRDefault="002551E6" w:rsidP="002551E6">
      <w:r w:rsidRPr="002551E6">
        <w:t>In summary, the demographic composition of the Shire of Nillumbik is</w:t>
      </w:r>
      <w:r>
        <w:t xml:space="preserve"> </w:t>
      </w:r>
      <w:r w:rsidRPr="002551E6">
        <w:t>changing and council has to plan for this inevitability. There are concerns that</w:t>
      </w:r>
      <w:r>
        <w:t xml:space="preserve"> </w:t>
      </w:r>
      <w:r w:rsidRPr="002551E6">
        <w:t>lower socioeconomic groups will be priced out of the Nillumbik Green Wedge</w:t>
      </w:r>
      <w:r>
        <w:t xml:space="preserve"> </w:t>
      </w:r>
      <w:r w:rsidRPr="002551E6">
        <w:t>property market and that climate change will adversely affect residents’ quality</w:t>
      </w:r>
      <w:r>
        <w:t xml:space="preserve"> </w:t>
      </w:r>
      <w:r w:rsidRPr="002551E6">
        <w:t>of life.</w:t>
      </w:r>
    </w:p>
    <w:p w:rsidR="002551E6" w:rsidRPr="002551E6" w:rsidRDefault="002551E6" w:rsidP="002551E6">
      <w:pPr>
        <w:pStyle w:val="Heading2"/>
      </w:pPr>
      <w:r w:rsidRPr="002551E6">
        <w:t>Peak oil – the end of plentiful cheap energy</w:t>
      </w:r>
    </w:p>
    <w:p w:rsidR="002551E6" w:rsidRPr="002551E6" w:rsidRDefault="002551E6" w:rsidP="002551E6">
      <w:r w:rsidRPr="002551E6">
        <w:t>Ian Lowe, Emeritus Professor of Science, Technology and Society at</w:t>
      </w:r>
      <w:r>
        <w:t xml:space="preserve"> </w:t>
      </w:r>
      <w:r w:rsidRPr="002551E6">
        <w:t>Queensland’s Griffith University, notes that the two big challenges for future</w:t>
      </w:r>
      <w:r>
        <w:t xml:space="preserve"> </w:t>
      </w:r>
      <w:r w:rsidRPr="002551E6">
        <w:t>energy are ‘peak oil’ and climate change: ‘Economic development in the 20th</w:t>
      </w:r>
      <w:r>
        <w:t xml:space="preserve"> </w:t>
      </w:r>
      <w:r w:rsidRPr="002551E6">
        <w:t>century was fuelled by plentiful cheap energy. It has been clear for decades</w:t>
      </w:r>
      <w:r>
        <w:t xml:space="preserve"> </w:t>
      </w:r>
      <w:r w:rsidRPr="002551E6">
        <w:t>that the energy outlook for this century is totally different … there is no</w:t>
      </w:r>
      <w:r>
        <w:t xml:space="preserve"> </w:t>
      </w:r>
      <w:r w:rsidRPr="002551E6">
        <w:t>escaping the conclusion that the age of plentiful cheap petroleum fuels is</w:t>
      </w:r>
      <w:r>
        <w:t xml:space="preserve"> </w:t>
      </w:r>
      <w:r w:rsidRPr="002551E6">
        <w:t>ending’ (Lowe 2008, p. 201, 202, 204).</w:t>
      </w:r>
    </w:p>
    <w:p w:rsidR="002551E6" w:rsidRPr="002551E6" w:rsidRDefault="002551E6" w:rsidP="002551E6">
      <w:r w:rsidRPr="002551E6">
        <w:t>The relative lack of public transport, population spread and high proportion of</w:t>
      </w:r>
      <w:r>
        <w:t xml:space="preserve"> </w:t>
      </w:r>
      <w:r w:rsidRPr="002551E6">
        <w:t>workers travelling outside the municipality for work means Nillumbik’s Green</w:t>
      </w:r>
      <w:r>
        <w:t xml:space="preserve"> </w:t>
      </w:r>
      <w:r w:rsidRPr="002551E6">
        <w:t>Wedge residents have a high level of car dependence.</w:t>
      </w:r>
    </w:p>
    <w:p w:rsidR="002551E6" w:rsidRPr="002551E6" w:rsidRDefault="002551E6" w:rsidP="002551E6">
      <w:r w:rsidRPr="002551E6">
        <w:t>More than 75 per cent of people commute to locations outside of the shire for</w:t>
      </w:r>
      <w:r>
        <w:t xml:space="preserve"> </w:t>
      </w:r>
      <w:r w:rsidRPr="002551E6">
        <w:t>work (Essential Economics 2008, p. 50). This is the highest rate of all the</w:t>
      </w:r>
      <w:r>
        <w:t xml:space="preserve"> </w:t>
      </w:r>
      <w:r w:rsidRPr="002551E6">
        <w:t>eight interface councils (Parliament of Victoria 2008, p. 314) and it raises</w:t>
      </w:r>
      <w:r>
        <w:t xml:space="preserve"> </w:t>
      </w:r>
      <w:r w:rsidRPr="002551E6">
        <w:t>social, economic and environmental issues. Of particular concern are: long</w:t>
      </w:r>
      <w:r>
        <w:t xml:space="preserve"> </w:t>
      </w:r>
      <w:r w:rsidRPr="002551E6">
        <w:t>hours away commuting for work, lack of local jobs particularly for young</w:t>
      </w:r>
      <w:r>
        <w:t xml:space="preserve"> </w:t>
      </w:r>
      <w:r w:rsidRPr="002551E6">
        <w:t>people, climate change and air pollution.</w:t>
      </w:r>
    </w:p>
    <w:p w:rsidR="002551E6" w:rsidRPr="002551E6" w:rsidRDefault="002551E6" w:rsidP="002551E6">
      <w:r w:rsidRPr="002551E6">
        <w:lastRenderedPageBreak/>
        <w:t>Compact, urban activity centres providing essential goods and services, as</w:t>
      </w:r>
      <w:r>
        <w:t xml:space="preserve"> </w:t>
      </w:r>
      <w:r w:rsidRPr="002551E6">
        <w:t>envisaged by Melbourne 2030, are important for the future of the Nillumbik</w:t>
      </w:r>
      <w:r>
        <w:t xml:space="preserve"> </w:t>
      </w:r>
      <w:r w:rsidRPr="002551E6">
        <w:t>Green Wedge.</w:t>
      </w:r>
    </w:p>
    <w:p w:rsidR="002551E6" w:rsidRPr="002551E6" w:rsidRDefault="002551E6" w:rsidP="002551E6">
      <w:r w:rsidRPr="002551E6">
        <w:t>A more optimistic view of the impending energy crisis is that there are</w:t>
      </w:r>
      <w:r>
        <w:t xml:space="preserve"> </w:t>
      </w:r>
      <w:r w:rsidRPr="002551E6">
        <w:t>alternative energy sources and that these will be harnessed in the future and,</w:t>
      </w:r>
      <w:r>
        <w:t xml:space="preserve"> </w:t>
      </w:r>
      <w:r w:rsidRPr="002551E6">
        <w:t>further, that climate change and peak oil are a positive opportunity to</w:t>
      </w:r>
      <w:r>
        <w:t xml:space="preserve"> </w:t>
      </w:r>
      <w:r w:rsidRPr="002551E6">
        <w:t>restructure our ways of living and to create sustainable towns7 and more local</w:t>
      </w:r>
      <w:r>
        <w:t xml:space="preserve"> </w:t>
      </w:r>
      <w:r w:rsidRPr="002551E6">
        <w:t>employment.</w:t>
      </w:r>
    </w:p>
    <w:p w:rsidR="002551E6" w:rsidRPr="002551E6" w:rsidRDefault="002551E6" w:rsidP="002551E6">
      <w:pPr>
        <w:pStyle w:val="Heading2"/>
      </w:pPr>
      <w:r w:rsidRPr="002551E6">
        <w:t>Economy</w:t>
      </w:r>
    </w:p>
    <w:p w:rsidR="002551E6" w:rsidRPr="002551E6" w:rsidRDefault="002551E6" w:rsidP="002551E6">
      <w:r w:rsidRPr="002551E6">
        <w:t>Issues concerning the economy of the Nillumbik Green Wedge fall into the</w:t>
      </w:r>
      <w:r>
        <w:t xml:space="preserve"> </w:t>
      </w:r>
      <w:r w:rsidRPr="002551E6">
        <w:t>categories of funding, management, business opportunities and infrastructure.</w:t>
      </w:r>
      <w:r>
        <w:t xml:space="preserve"> </w:t>
      </w:r>
      <w:r w:rsidRPr="002551E6">
        <w:t>How can the management of the Nillumbik Green Wedge be funded? What</w:t>
      </w:r>
      <w:r>
        <w:t xml:space="preserve"> </w:t>
      </w:r>
      <w:r w:rsidRPr="002551E6">
        <w:t>types and level of business activity, including tourism, are in keeping with the</w:t>
      </w:r>
      <w:r>
        <w:t xml:space="preserve"> </w:t>
      </w:r>
      <w:r w:rsidRPr="002551E6">
        <w:t>Nillumbik Green Wedge so that they do not impact adversely on its values?</w:t>
      </w:r>
      <w:r>
        <w:t xml:space="preserve"> </w:t>
      </w:r>
      <w:r w:rsidRPr="002551E6">
        <w:t>How can business opportunities be expanded in townships (where there is a lack of commercial and industrial land and a perceived ‘anti-business’ attitude</w:t>
      </w:r>
      <w:r>
        <w:t xml:space="preserve"> </w:t>
      </w:r>
      <w:r w:rsidRPr="002551E6">
        <w:t>from council)? Finally how can council meet the high cost of maintaining</w:t>
      </w:r>
      <w:r>
        <w:t xml:space="preserve"> </w:t>
      </w:r>
      <w:r w:rsidRPr="002551E6">
        <w:t>infrastructure and waste disposal services in dispersed rural areas?</w:t>
      </w:r>
    </w:p>
    <w:p w:rsidR="002551E6" w:rsidRPr="002551E6" w:rsidRDefault="002551E6" w:rsidP="002551E6">
      <w:pPr>
        <w:pStyle w:val="Heading2"/>
      </w:pPr>
      <w:r w:rsidRPr="002551E6">
        <w:t>Environment</w:t>
      </w:r>
    </w:p>
    <w:p w:rsidR="002551E6" w:rsidRPr="002551E6" w:rsidRDefault="002551E6" w:rsidP="002551E6">
      <w:r w:rsidRPr="002551E6">
        <w:t>There is widespread concern about the environment of the Nillumbik Green</w:t>
      </w:r>
      <w:r>
        <w:t xml:space="preserve"> </w:t>
      </w:r>
      <w:r w:rsidRPr="002551E6">
        <w:t>Wedge. These concerns are chiefly about management of land and</w:t>
      </w:r>
      <w:r>
        <w:t xml:space="preserve"> </w:t>
      </w:r>
      <w:r w:rsidRPr="002551E6">
        <w:t>environmental values, rural residential living, tourism and unsuitable</w:t>
      </w:r>
      <w:r>
        <w:t xml:space="preserve"> </w:t>
      </w:r>
      <w:r w:rsidRPr="002551E6">
        <w:t>development. Education is critical in managing the environmental impacts on</w:t>
      </w:r>
      <w:r>
        <w:t xml:space="preserve"> </w:t>
      </w:r>
      <w:r w:rsidRPr="002551E6">
        <w:t>the green wedge. In addition to the impacts of climate change, described in</w:t>
      </w:r>
      <w:r>
        <w:t xml:space="preserve"> </w:t>
      </w:r>
      <w:r w:rsidRPr="002551E6">
        <w:t>section 5.1 above, other issues are air and water pollution; the need to protect</w:t>
      </w:r>
      <w:r>
        <w:t xml:space="preserve"> </w:t>
      </w:r>
      <w:r w:rsidRPr="002551E6">
        <w:t>environmentally significant areas and the Ni</w:t>
      </w:r>
      <w:r>
        <w:t>llumbik Green Wedge landscapes. T</w:t>
      </w:r>
      <w:r w:rsidRPr="002551E6">
        <w:t>here is also a perception that open landscapes are threatened by plantings</w:t>
      </w:r>
      <w:r>
        <w:t xml:space="preserve"> </w:t>
      </w:r>
      <w:r w:rsidRPr="002551E6">
        <w:t>like cypress hedges or windrows and concern that the impact of adjoining</w:t>
      </w:r>
      <w:r>
        <w:t xml:space="preserve"> </w:t>
      </w:r>
      <w:r w:rsidRPr="002551E6">
        <w:t>urban areas, particularly the Whittlesea growth corridor, will be detrimental to</w:t>
      </w:r>
      <w:r>
        <w:t xml:space="preserve"> </w:t>
      </w:r>
      <w:r w:rsidRPr="002551E6">
        <w:t>environmental values.</w:t>
      </w:r>
    </w:p>
    <w:p w:rsidR="002551E6" w:rsidRPr="002551E6" w:rsidRDefault="002551E6" w:rsidP="002551E6">
      <w:pPr>
        <w:pStyle w:val="Heading2"/>
      </w:pPr>
      <w:r w:rsidRPr="002551E6">
        <w:t>Governance – Nillumbik as part of a wider green wedge</w:t>
      </w:r>
    </w:p>
    <w:p w:rsidR="002551E6" w:rsidRDefault="002551E6" w:rsidP="002551E6">
      <w:r w:rsidRPr="002551E6">
        <w:t>Sustainable green wedges are the responsibility of all levels of government</w:t>
      </w:r>
      <w:r>
        <w:t xml:space="preserve"> </w:t>
      </w:r>
      <w:r w:rsidRPr="002551E6">
        <w:t>and also non-government agencies, landholders and community. It is also</w:t>
      </w:r>
      <w:r>
        <w:t xml:space="preserve"> </w:t>
      </w:r>
      <w:r w:rsidRPr="002551E6">
        <w:t>important to closely coordinate the management of adjacent green wedges.</w:t>
      </w:r>
      <w:r>
        <w:t xml:space="preserve"> </w:t>
      </w:r>
    </w:p>
    <w:p w:rsidR="002551E6" w:rsidRPr="002551E6" w:rsidRDefault="002551E6" w:rsidP="002551E6">
      <w:r w:rsidRPr="002551E6">
        <w:t xml:space="preserve">One of the key recommendations from the Community </w:t>
      </w:r>
      <w:r>
        <w:t xml:space="preserve">Advisory Group was to </w:t>
      </w:r>
      <w:r w:rsidRPr="002551E6">
        <w:t>consider the potential benefit in a whole-of-landscape approach to managing</w:t>
      </w:r>
      <w:r>
        <w:t xml:space="preserve"> </w:t>
      </w:r>
      <w:r w:rsidRPr="002551E6">
        <w:t>the green wedge. The key reason is that the landscape does not end</w:t>
      </w:r>
      <w:r>
        <w:t xml:space="preserve"> </w:t>
      </w:r>
      <w:r w:rsidRPr="002551E6">
        <w:t>artificially at council boundaries. Given that the GWMP commits to managing</w:t>
      </w:r>
      <w:r>
        <w:t xml:space="preserve"> </w:t>
      </w:r>
      <w:r w:rsidRPr="002551E6">
        <w:t>the environment at a landscape scale, there is merit in investigating</w:t>
      </w:r>
      <w:r>
        <w:t xml:space="preserve"> </w:t>
      </w:r>
      <w:r w:rsidRPr="002551E6">
        <w:t>alternative governance models.</w:t>
      </w:r>
    </w:p>
    <w:p w:rsidR="002551E6" w:rsidRPr="002551E6" w:rsidRDefault="002551E6" w:rsidP="002551E6">
      <w:r w:rsidRPr="002551E6">
        <w:t>The model proposed by the Community Advisory Group would involve</w:t>
      </w:r>
      <w:r>
        <w:t xml:space="preserve"> </w:t>
      </w:r>
      <w:r w:rsidRPr="002551E6">
        <w:t>creating a larger green wedge, which might include Yarra Ranges, Whittlesea</w:t>
      </w:r>
      <w:r>
        <w:t xml:space="preserve"> </w:t>
      </w:r>
      <w:r w:rsidRPr="002551E6">
        <w:t>and Nillumbik Shire. A new model of governance, potentially an independent</w:t>
      </w:r>
      <w:r>
        <w:t xml:space="preserve"> </w:t>
      </w:r>
      <w:r w:rsidRPr="002551E6">
        <w:t>Green Wedge Management Authority, could manage it. This authority would</w:t>
      </w:r>
      <w:r>
        <w:t xml:space="preserve"> </w:t>
      </w:r>
      <w:r w:rsidRPr="002551E6">
        <w:t>have its role set out in legislation and would be responsible for:</w:t>
      </w:r>
    </w:p>
    <w:p w:rsidR="002551E6" w:rsidRPr="002551E6" w:rsidRDefault="002551E6" w:rsidP="002551E6">
      <w:pPr>
        <w:pStyle w:val="ListBullet"/>
      </w:pPr>
      <w:r w:rsidRPr="002551E6">
        <w:lastRenderedPageBreak/>
        <w:t>conservation and enhancement of the gree</w:t>
      </w:r>
      <w:r>
        <w:t xml:space="preserve">n wedge landscape – which </w:t>
      </w:r>
      <w:r w:rsidRPr="002551E6">
        <w:t>means looking after the landscape, heritage, flora and fauna</w:t>
      </w:r>
    </w:p>
    <w:p w:rsidR="002551E6" w:rsidRPr="002551E6" w:rsidRDefault="002551E6" w:rsidP="002551E6">
      <w:pPr>
        <w:pStyle w:val="ListBullet"/>
      </w:pPr>
      <w:r w:rsidRPr="002551E6">
        <w:t>promoting people’s enjoyment</w:t>
      </w:r>
      <w:r>
        <w:t xml:space="preserve"> of the landscape and providing </w:t>
      </w:r>
      <w:r w:rsidRPr="002551E6">
        <w:t>opportunities for them to understand it</w:t>
      </w:r>
    </w:p>
    <w:p w:rsidR="002551E6" w:rsidRPr="002551E6" w:rsidRDefault="002551E6" w:rsidP="002551E6">
      <w:pPr>
        <w:pStyle w:val="ListBullet"/>
      </w:pPr>
      <w:proofErr w:type="gramStart"/>
      <w:r w:rsidRPr="002551E6">
        <w:t>supporting</w:t>
      </w:r>
      <w:proofErr w:type="gramEnd"/>
      <w:r w:rsidRPr="002551E6">
        <w:t xml:space="preserve"> the local economy to ensure a thriving local community.</w:t>
      </w:r>
    </w:p>
    <w:p w:rsidR="002551E6" w:rsidRDefault="002551E6" w:rsidP="002551E6">
      <w:r w:rsidRPr="002551E6">
        <w:t>Areas of work for the management authority m</w:t>
      </w:r>
      <w:r>
        <w:t xml:space="preserve">ight be: conservation, land and </w:t>
      </w:r>
      <w:r w:rsidRPr="002551E6">
        <w:t>water management, planning, recreation, visitor services and a key role in</w:t>
      </w:r>
      <w:r>
        <w:t xml:space="preserve"> </w:t>
      </w:r>
      <w:r w:rsidRPr="002551E6">
        <w:t>education. Its members would be drawn from councils and community. Under</w:t>
      </w:r>
      <w:r>
        <w:t xml:space="preserve"> </w:t>
      </w:r>
      <w:r w:rsidRPr="002551E6">
        <w:t>the proposed model, funding for the Green Wedge Management Authority and</w:t>
      </w:r>
      <w:r>
        <w:t xml:space="preserve"> </w:t>
      </w:r>
      <w:r w:rsidRPr="002551E6">
        <w:t>its programmes would be provided by state or federal government. Local</w:t>
      </w:r>
      <w:r>
        <w:t xml:space="preserve"> </w:t>
      </w:r>
      <w:r w:rsidRPr="002551E6">
        <w:t>services like rubbish collection would continue to be funded by the rate base</w:t>
      </w:r>
      <w:r>
        <w:t xml:space="preserve"> </w:t>
      </w:r>
      <w:r w:rsidRPr="002551E6">
        <w:t>within each of the three councils.</w:t>
      </w:r>
    </w:p>
    <w:p w:rsidR="002551E6" w:rsidRDefault="002551E6" w:rsidP="002551E6">
      <w:r w:rsidRPr="002551E6">
        <w:t>Recent boundary changes made by the state government and an electoral</w:t>
      </w:r>
      <w:r>
        <w:t xml:space="preserve"> </w:t>
      </w:r>
      <w:r w:rsidRPr="002551E6">
        <w:t>cycle that sees governments come and go contribute to a perception that the</w:t>
      </w:r>
      <w:r>
        <w:t xml:space="preserve"> </w:t>
      </w:r>
      <w:r w:rsidRPr="002551E6">
        <w:t>Nillumbik Green Wedge does not have long term security. In addition, funding</w:t>
      </w:r>
      <w:r>
        <w:t xml:space="preserve"> </w:t>
      </w:r>
      <w:r w:rsidRPr="002551E6">
        <w:t>to manage the Nillumbik Green Wedge is not recognised as a significant issue</w:t>
      </w:r>
      <w:r>
        <w:t xml:space="preserve"> </w:t>
      </w:r>
      <w:r w:rsidRPr="002551E6">
        <w:t>by state and federal governments. It is clear that additional funding sources</w:t>
      </w:r>
      <w:r>
        <w:t xml:space="preserve"> </w:t>
      </w:r>
      <w:r w:rsidRPr="002551E6">
        <w:t>are required and this is a key issue for council to pursue.</w:t>
      </w:r>
    </w:p>
    <w:p w:rsidR="002551E6" w:rsidRDefault="002551E6">
      <w:r>
        <w:br w:type="page"/>
      </w:r>
    </w:p>
    <w:p w:rsidR="002551E6" w:rsidRPr="002551E6" w:rsidRDefault="002551E6" w:rsidP="002551E6">
      <w:pPr>
        <w:pStyle w:val="Heading1"/>
      </w:pPr>
      <w:r w:rsidRPr="002551E6">
        <w:lastRenderedPageBreak/>
        <w:t>Development of the Nillumbik Green Wedge</w:t>
      </w:r>
      <w:r>
        <w:t xml:space="preserve"> </w:t>
      </w:r>
      <w:r w:rsidRPr="002551E6">
        <w:t>Management Plan</w:t>
      </w:r>
    </w:p>
    <w:p w:rsidR="002551E6" w:rsidRPr="002551E6" w:rsidRDefault="002551E6" w:rsidP="002551E6">
      <w:r w:rsidRPr="002551E6">
        <w:t>Nillumbik Shire Council’s GWMP is informed by a combination of existing and</w:t>
      </w:r>
      <w:r>
        <w:t xml:space="preserve"> </w:t>
      </w:r>
      <w:r w:rsidRPr="002551E6">
        <w:t>commissioned research and by consulta</w:t>
      </w:r>
      <w:r>
        <w:t xml:space="preserve">tion with communities. The GWMP </w:t>
      </w:r>
      <w:r w:rsidRPr="002551E6">
        <w:t>was developed in four stages. Council provided multiple opportunities for</w:t>
      </w:r>
      <w:r>
        <w:t xml:space="preserve"> </w:t>
      </w:r>
      <w:r w:rsidRPr="002551E6">
        <w:t>people to provide input to the content of the plan and feedback on draft</w:t>
      </w:r>
      <w:r>
        <w:t xml:space="preserve"> </w:t>
      </w:r>
      <w:r w:rsidRPr="002551E6">
        <w:t>documents. A council-appointed Community Advisory Group, comprising</w:t>
      </w:r>
      <w:r>
        <w:t xml:space="preserve"> </w:t>
      </w:r>
      <w:r w:rsidRPr="002551E6">
        <w:t>representatives from a range of organisations, met at key stages in the</w:t>
      </w:r>
      <w:r>
        <w:t xml:space="preserve"> </w:t>
      </w:r>
      <w:r w:rsidRPr="002551E6">
        <w:t>process to provide input and guidance. A cros</w:t>
      </w:r>
      <w:r>
        <w:t xml:space="preserve">s-council officer working group </w:t>
      </w:r>
      <w:r w:rsidRPr="002551E6">
        <w:t>provided technical advice as required.</w:t>
      </w:r>
    </w:p>
    <w:p w:rsidR="002551E6" w:rsidRPr="002551E6" w:rsidRDefault="002551E6" w:rsidP="002551E6">
      <w:r w:rsidRPr="002551E6">
        <w:t>A detailed account of the community consultation process is in Appendix 4.</w:t>
      </w:r>
    </w:p>
    <w:p w:rsidR="002551E6" w:rsidRPr="002551E6" w:rsidRDefault="002551E6" w:rsidP="002551E6">
      <w:pPr>
        <w:pStyle w:val="Heading2"/>
        <w:numPr>
          <w:ilvl w:val="0"/>
          <w:numId w:val="0"/>
        </w:numPr>
        <w:ind w:left="1077" w:hanging="1077"/>
      </w:pPr>
      <w:r w:rsidRPr="002551E6">
        <w:t>Stage 1 – background research</w:t>
      </w:r>
    </w:p>
    <w:p w:rsidR="002551E6" w:rsidRPr="002551E6" w:rsidRDefault="002551E6" w:rsidP="002551E6">
      <w:pPr>
        <w:rPr>
          <w:b/>
        </w:rPr>
      </w:pPr>
      <w:r w:rsidRPr="002551E6">
        <w:rPr>
          <w:b/>
        </w:rPr>
        <w:t>Technical studies</w:t>
      </w:r>
    </w:p>
    <w:p w:rsidR="002551E6" w:rsidRDefault="002551E6" w:rsidP="002551E6">
      <w:r w:rsidRPr="002551E6">
        <w:t>A number of technical studies i</w:t>
      </w:r>
      <w:r>
        <w:t>nform the Nillumbik Green Wedge Management Plan.</w:t>
      </w:r>
    </w:p>
    <w:p w:rsidR="002551E6" w:rsidRPr="002551E6" w:rsidRDefault="002551E6" w:rsidP="002551E6">
      <w:pPr>
        <w:pStyle w:val="ListBullet"/>
      </w:pPr>
      <w:r w:rsidRPr="002551E6">
        <w:t>Sites of Faunal and Habitat Significance (</w:t>
      </w:r>
      <w:proofErr w:type="spellStart"/>
      <w:r w:rsidRPr="002551E6">
        <w:t>Beardsell</w:t>
      </w:r>
      <w:proofErr w:type="spellEnd"/>
      <w:r w:rsidRPr="002551E6">
        <w:t xml:space="preserve"> 1997)</w:t>
      </w:r>
    </w:p>
    <w:p w:rsidR="002551E6" w:rsidRPr="002551E6" w:rsidRDefault="002551E6" w:rsidP="002551E6">
      <w:pPr>
        <w:pStyle w:val="ListBullet"/>
      </w:pPr>
      <w:r w:rsidRPr="002551E6">
        <w:t xml:space="preserve">DSE </w:t>
      </w:r>
      <w:proofErr w:type="spellStart"/>
      <w:r w:rsidRPr="002551E6">
        <w:t>Biosite</w:t>
      </w:r>
      <w:proofErr w:type="spellEnd"/>
      <w:r w:rsidRPr="002551E6">
        <w:t xml:space="preserve"> mapping</w:t>
      </w:r>
    </w:p>
    <w:p w:rsidR="002551E6" w:rsidRPr="002551E6" w:rsidRDefault="002551E6" w:rsidP="002551E6">
      <w:pPr>
        <w:pStyle w:val="ListBullet"/>
      </w:pPr>
      <w:r w:rsidRPr="002551E6">
        <w:t>Land Capability Study (Woodward-Clyde 1998)</w:t>
      </w:r>
    </w:p>
    <w:p w:rsidR="002551E6" w:rsidRPr="002551E6" w:rsidRDefault="002551E6" w:rsidP="002551E6">
      <w:pPr>
        <w:pStyle w:val="ListBullet"/>
      </w:pPr>
      <w:r w:rsidRPr="002551E6">
        <w:t>Shire Commodity and Economic Profiles (Clark 2006)</w:t>
      </w:r>
    </w:p>
    <w:p w:rsidR="002551E6" w:rsidRPr="002551E6" w:rsidRDefault="002551E6" w:rsidP="002551E6">
      <w:pPr>
        <w:pStyle w:val="ListBullet"/>
      </w:pPr>
      <w:r w:rsidRPr="002551E6">
        <w:t>Open Space Strategy (Nillumbik Shire Council 2005)</w:t>
      </w:r>
    </w:p>
    <w:p w:rsidR="002551E6" w:rsidRPr="002551E6" w:rsidRDefault="002551E6" w:rsidP="002551E6">
      <w:pPr>
        <w:pStyle w:val="ListBullet"/>
      </w:pPr>
      <w:r w:rsidRPr="002551E6">
        <w:t>Roadside Management Plan ( Nillumbik Shire Council1997)</w:t>
      </w:r>
    </w:p>
    <w:p w:rsidR="002551E6" w:rsidRPr="002551E6" w:rsidRDefault="002551E6" w:rsidP="002551E6">
      <w:pPr>
        <w:pStyle w:val="ListBullet"/>
      </w:pPr>
      <w:r w:rsidRPr="002551E6">
        <w:t>Recreational Trails Strategy (Nillumbik Shire Council 2001)</w:t>
      </w:r>
    </w:p>
    <w:p w:rsidR="002551E6" w:rsidRPr="002551E6" w:rsidRDefault="002551E6" w:rsidP="002551E6">
      <w:pPr>
        <w:pStyle w:val="ListBullet"/>
      </w:pPr>
      <w:r w:rsidRPr="002551E6">
        <w:t>Nillumbik Green Wedge Management Plan – Economic Research</w:t>
      </w:r>
      <w:r>
        <w:t xml:space="preserve"> </w:t>
      </w:r>
      <w:r w:rsidRPr="002551E6">
        <w:t>(Essential Economics 2008)</w:t>
      </w:r>
    </w:p>
    <w:p w:rsidR="002551E6" w:rsidRPr="002551E6" w:rsidRDefault="002551E6" w:rsidP="002551E6">
      <w:pPr>
        <w:rPr>
          <w:b/>
        </w:rPr>
      </w:pPr>
      <w:r w:rsidRPr="002551E6">
        <w:rPr>
          <w:b/>
        </w:rPr>
        <w:t>Background and discussion papers</w:t>
      </w:r>
    </w:p>
    <w:p w:rsidR="002551E6" w:rsidRPr="002551E6" w:rsidRDefault="002551E6" w:rsidP="002551E6">
      <w:r w:rsidRPr="002551E6">
        <w:t>The comprehensive Green Wedge Background Paper (Nillumbik Shire</w:t>
      </w:r>
      <w:r>
        <w:t xml:space="preserve"> </w:t>
      </w:r>
      <w:r w:rsidRPr="002551E6">
        <w:t>Council 2006) documents existing information on the Nillumbik Green Wedge</w:t>
      </w:r>
      <w:r>
        <w:t xml:space="preserve"> </w:t>
      </w:r>
      <w:r w:rsidRPr="002551E6">
        <w:t>including studies on land capability, environmental values, and Aboriginal and</w:t>
      </w:r>
      <w:r>
        <w:t xml:space="preserve"> </w:t>
      </w:r>
      <w:r w:rsidRPr="002551E6">
        <w:t>European history. It includes sections on the history of the Nillumbik Green</w:t>
      </w:r>
      <w:r>
        <w:t xml:space="preserve"> </w:t>
      </w:r>
      <w:r w:rsidRPr="002551E6">
        <w:t>Wedge; policy context; land use; environment; people and community;</w:t>
      </w:r>
      <w:r>
        <w:t xml:space="preserve"> </w:t>
      </w:r>
      <w:r w:rsidRPr="002551E6">
        <w:t>infrastructure and services. The background report and technical studies</w:t>
      </w:r>
      <w:r>
        <w:t xml:space="preserve"> </w:t>
      </w:r>
      <w:r w:rsidRPr="002551E6">
        <w:t>provide an evidence base for developing the objectives and strategies of the</w:t>
      </w:r>
      <w:r>
        <w:t xml:space="preserve"> </w:t>
      </w:r>
      <w:r w:rsidRPr="002551E6">
        <w:t>GWMP and for identifying additional information needs.</w:t>
      </w:r>
    </w:p>
    <w:p w:rsidR="002551E6" w:rsidRDefault="002551E6" w:rsidP="002551E6">
      <w:r w:rsidRPr="002551E6">
        <w:t>A Discussion paper was developed from th</w:t>
      </w:r>
      <w:r>
        <w:t xml:space="preserve">e information in the Background </w:t>
      </w:r>
      <w:r w:rsidRPr="002551E6">
        <w:t>Paper and issued for consultation in February 2007 (Nillumbik Shire Council</w:t>
      </w:r>
      <w:r>
        <w:t xml:space="preserve"> </w:t>
      </w:r>
      <w:r w:rsidRPr="002551E6">
        <w:t>2007).</w:t>
      </w:r>
    </w:p>
    <w:p w:rsidR="002551E6" w:rsidRPr="002551E6" w:rsidRDefault="002551E6" w:rsidP="002551E6">
      <w:pPr>
        <w:pStyle w:val="Heading2"/>
        <w:numPr>
          <w:ilvl w:val="0"/>
          <w:numId w:val="0"/>
        </w:numPr>
        <w:ind w:left="1077" w:hanging="1077"/>
      </w:pPr>
      <w:r w:rsidRPr="002551E6">
        <w:t>Stage 2 – values and vision</w:t>
      </w:r>
    </w:p>
    <w:p w:rsidR="002551E6" w:rsidRPr="002551E6" w:rsidRDefault="002551E6" w:rsidP="002551E6">
      <w:r w:rsidRPr="002551E6">
        <w:t>The purpose of this stage was to understand what is special about the</w:t>
      </w:r>
      <w:r>
        <w:t xml:space="preserve"> </w:t>
      </w:r>
      <w:r w:rsidRPr="002551E6">
        <w:t>Nillumbik Green Wedge in terms of its environment, flora and fauna, cultural</w:t>
      </w:r>
      <w:r>
        <w:t xml:space="preserve"> </w:t>
      </w:r>
      <w:r w:rsidRPr="002551E6">
        <w:t xml:space="preserve">heritage and people. In this </w:t>
      </w:r>
      <w:r w:rsidRPr="002551E6">
        <w:lastRenderedPageBreak/>
        <w:t>stage council consulted with communities to see</w:t>
      </w:r>
      <w:r>
        <w:t xml:space="preserve"> </w:t>
      </w:r>
      <w:r w:rsidRPr="002551E6">
        <w:t>what they value about the green wedge, and to identify the main issues that</w:t>
      </w:r>
      <w:r>
        <w:t xml:space="preserve"> </w:t>
      </w:r>
      <w:r w:rsidRPr="002551E6">
        <w:t>concern them. In this way council was able to develop an informed vision for</w:t>
      </w:r>
      <w:r>
        <w:t xml:space="preserve"> </w:t>
      </w:r>
      <w:r w:rsidRPr="002551E6">
        <w:t>the future of the Nillumbik Green Wedge. A range of consultation methods</w:t>
      </w:r>
      <w:r>
        <w:t xml:space="preserve"> </w:t>
      </w:r>
      <w:r w:rsidRPr="002551E6">
        <w:t>were used including workshops, an internet survey of council’s ‘talkback’</w:t>
      </w:r>
      <w:r>
        <w:t xml:space="preserve"> </w:t>
      </w:r>
      <w:r w:rsidRPr="002551E6">
        <w:t>panel, meetings with key stakeholders and attendance at local fairs and</w:t>
      </w:r>
      <w:r>
        <w:t xml:space="preserve"> </w:t>
      </w:r>
      <w:r w:rsidRPr="002551E6">
        <w:t>markets.</w:t>
      </w:r>
    </w:p>
    <w:p w:rsidR="002551E6" w:rsidRPr="002551E6" w:rsidRDefault="002551E6" w:rsidP="002551E6">
      <w:r w:rsidRPr="002551E6">
        <w:t>Feedback was drawn together into a consultation report and this was used to</w:t>
      </w:r>
      <w:r>
        <w:t xml:space="preserve"> </w:t>
      </w:r>
      <w:r w:rsidRPr="002551E6">
        <w:t>develop a paper – Visions values and guiding principles – that would guide</w:t>
      </w:r>
      <w:r>
        <w:t xml:space="preserve"> </w:t>
      </w:r>
      <w:r w:rsidRPr="002551E6">
        <w:t>the plan’s objectives, strategies and actions.</w:t>
      </w:r>
    </w:p>
    <w:p w:rsidR="002551E6" w:rsidRPr="002551E6" w:rsidRDefault="002551E6" w:rsidP="002551E6">
      <w:r w:rsidRPr="002551E6">
        <w:t>The Values vision and guiding principles paper was issued for consultation in</w:t>
      </w:r>
      <w:r>
        <w:t xml:space="preserve"> </w:t>
      </w:r>
      <w:r w:rsidRPr="002551E6">
        <w:t>November 2007.</w:t>
      </w:r>
    </w:p>
    <w:p w:rsidR="002551E6" w:rsidRPr="002551E6" w:rsidRDefault="002551E6" w:rsidP="002551E6">
      <w:pPr>
        <w:pStyle w:val="Heading2"/>
        <w:numPr>
          <w:ilvl w:val="0"/>
          <w:numId w:val="0"/>
        </w:numPr>
        <w:ind w:left="1077" w:hanging="1077"/>
      </w:pPr>
      <w:r w:rsidRPr="002551E6">
        <w:t>Stage 3 – options development</w:t>
      </w:r>
    </w:p>
    <w:p w:rsidR="002551E6" w:rsidRPr="002551E6" w:rsidRDefault="002551E6" w:rsidP="002551E6">
      <w:r w:rsidRPr="002551E6">
        <w:t>The purpose of this stage was to draw together the differing viewpoints</w:t>
      </w:r>
      <w:r>
        <w:t xml:space="preserve"> </w:t>
      </w:r>
      <w:r w:rsidRPr="002551E6">
        <w:t>received through consultation to help move from an aspirational vision to</w:t>
      </w:r>
      <w:r>
        <w:t xml:space="preserve"> </w:t>
      </w:r>
      <w:r w:rsidRPr="002551E6">
        <w:t>something more tangible.</w:t>
      </w:r>
    </w:p>
    <w:p w:rsidR="002551E6" w:rsidRPr="002551E6" w:rsidRDefault="002551E6" w:rsidP="002551E6">
      <w:r w:rsidRPr="002551E6">
        <w:t>A Scenarios paper setting out four possible futures for the Nillumbik Green</w:t>
      </w:r>
      <w:r>
        <w:t xml:space="preserve"> </w:t>
      </w:r>
      <w:r w:rsidRPr="002551E6">
        <w:t>Wedge was issued for consultation in March 2008. This paper acknowledged</w:t>
      </w:r>
      <w:r>
        <w:t xml:space="preserve"> </w:t>
      </w:r>
      <w:r w:rsidRPr="002551E6">
        <w:t>that the agreed way forward may be a combination of elements drawn from</w:t>
      </w:r>
      <w:r>
        <w:t xml:space="preserve"> </w:t>
      </w:r>
      <w:r w:rsidRPr="002551E6">
        <w:t>one or more of these possible futures.</w:t>
      </w:r>
    </w:p>
    <w:p w:rsidR="002551E6" w:rsidRPr="002551E6" w:rsidRDefault="002551E6" w:rsidP="002551E6">
      <w:pPr>
        <w:pStyle w:val="Heading2"/>
        <w:numPr>
          <w:ilvl w:val="0"/>
          <w:numId w:val="0"/>
        </w:numPr>
        <w:ind w:left="1077" w:hanging="1077"/>
      </w:pPr>
      <w:r w:rsidRPr="002551E6">
        <w:t>Stage 4 – draft green wedge management plan</w:t>
      </w:r>
    </w:p>
    <w:p w:rsidR="002551E6" w:rsidRDefault="002551E6" w:rsidP="002551E6">
      <w:r w:rsidRPr="002551E6">
        <w:t>The GWMP draws together data, issues, and community views from the three</w:t>
      </w:r>
      <w:r>
        <w:t xml:space="preserve"> </w:t>
      </w:r>
      <w:r w:rsidRPr="002551E6">
        <w:t>stages above and determines the direction council will take in managing the</w:t>
      </w:r>
      <w:r>
        <w:t xml:space="preserve"> </w:t>
      </w:r>
      <w:r w:rsidRPr="002551E6">
        <w:t>Nillumbik Green Wedge land. The draft GWMP was exhibited from</w:t>
      </w:r>
      <w:r>
        <w:t xml:space="preserve"> </w:t>
      </w:r>
      <w:r w:rsidRPr="002551E6">
        <w:t>1 December 2009 to 1 March 2010.</w:t>
      </w:r>
    </w:p>
    <w:p w:rsidR="002551E6" w:rsidRDefault="002551E6" w:rsidP="002551E6">
      <w:pPr>
        <w:pStyle w:val="CoverSubtitle"/>
      </w:pPr>
      <w:r>
        <w:br w:type="page"/>
      </w:r>
    </w:p>
    <w:p w:rsidR="002551E6" w:rsidRPr="002551E6" w:rsidRDefault="002551E6" w:rsidP="002551E6">
      <w:pPr>
        <w:pStyle w:val="Heading2"/>
        <w:numPr>
          <w:ilvl w:val="0"/>
          <w:numId w:val="0"/>
        </w:numPr>
        <w:ind w:left="1077" w:hanging="1077"/>
      </w:pPr>
      <w:r w:rsidRPr="002551E6">
        <w:lastRenderedPageBreak/>
        <w:t>Appendix 1 – green wedges</w:t>
      </w:r>
    </w:p>
    <w:p w:rsidR="002551E6" w:rsidRPr="002551E6" w:rsidRDefault="002551E6" w:rsidP="002551E6">
      <w:pPr>
        <w:pStyle w:val="Heading3"/>
        <w:numPr>
          <w:ilvl w:val="0"/>
          <w:numId w:val="0"/>
        </w:numPr>
        <w:ind w:left="1077" w:hanging="1077"/>
      </w:pPr>
      <w:r w:rsidRPr="002551E6">
        <w:t>Green wedge attributes</w:t>
      </w:r>
    </w:p>
    <w:p w:rsidR="002551E6" w:rsidRPr="002551E6" w:rsidRDefault="002551E6" w:rsidP="002551E6">
      <w:r w:rsidRPr="002551E6">
        <w:t>These features typify land in Melbourne’s green wedges.</w:t>
      </w:r>
    </w:p>
    <w:p w:rsidR="002551E6" w:rsidRPr="002551E6" w:rsidRDefault="002551E6" w:rsidP="002551E6">
      <w:pPr>
        <w:rPr>
          <w:b/>
        </w:rPr>
      </w:pPr>
      <w:r w:rsidRPr="002551E6">
        <w:rPr>
          <w:b/>
        </w:rPr>
        <w:t>Environment/conservation features</w:t>
      </w:r>
    </w:p>
    <w:p w:rsidR="002551E6" w:rsidRPr="002551E6" w:rsidRDefault="002551E6" w:rsidP="002551E6">
      <w:pPr>
        <w:pStyle w:val="ListBullet"/>
      </w:pPr>
      <w:r w:rsidRPr="002551E6">
        <w:t>areas used and suited to parks and conservation (national, state and local)</w:t>
      </w:r>
    </w:p>
    <w:p w:rsidR="002551E6" w:rsidRPr="002551E6" w:rsidRDefault="002551E6" w:rsidP="002551E6">
      <w:pPr>
        <w:pStyle w:val="ListBullet"/>
      </w:pPr>
      <w:r w:rsidRPr="002551E6">
        <w:t>areas of floral and faunal significance</w:t>
      </w:r>
    </w:p>
    <w:p w:rsidR="002551E6" w:rsidRPr="002551E6" w:rsidRDefault="002551E6" w:rsidP="002551E6">
      <w:pPr>
        <w:pStyle w:val="ListBullet"/>
      </w:pPr>
      <w:r w:rsidRPr="002551E6">
        <w:t>areas with native vegetation cover</w:t>
      </w:r>
    </w:p>
    <w:p w:rsidR="002551E6" w:rsidRPr="002551E6" w:rsidRDefault="002551E6" w:rsidP="002551E6">
      <w:pPr>
        <w:pStyle w:val="ListBullet"/>
      </w:pPr>
      <w:r w:rsidRPr="002551E6">
        <w:t>wetlands</w:t>
      </w:r>
    </w:p>
    <w:p w:rsidR="002551E6" w:rsidRPr="002551E6" w:rsidRDefault="002551E6" w:rsidP="002551E6">
      <w:pPr>
        <w:pStyle w:val="ListBullet"/>
      </w:pPr>
      <w:r w:rsidRPr="002551E6">
        <w:t>rivers and streams and their environmental buffers</w:t>
      </w:r>
    </w:p>
    <w:p w:rsidR="002551E6" w:rsidRPr="002551E6" w:rsidRDefault="002551E6" w:rsidP="002551E6">
      <w:pPr>
        <w:pStyle w:val="ListBullet"/>
      </w:pPr>
      <w:r w:rsidRPr="002551E6">
        <w:t>significant geographic features (ridge lines, river valleys, mountains, plains)</w:t>
      </w:r>
    </w:p>
    <w:p w:rsidR="002551E6" w:rsidRPr="002551E6" w:rsidRDefault="002551E6" w:rsidP="002551E6">
      <w:pPr>
        <w:pStyle w:val="ListBullet"/>
      </w:pPr>
      <w:r w:rsidRPr="002551E6">
        <w:t>heritage areas (natural/Indigenous/European)</w:t>
      </w:r>
    </w:p>
    <w:p w:rsidR="002551E6" w:rsidRPr="002551E6" w:rsidRDefault="002551E6" w:rsidP="002551E6">
      <w:pPr>
        <w:rPr>
          <w:b/>
        </w:rPr>
      </w:pPr>
      <w:r w:rsidRPr="002551E6">
        <w:rPr>
          <w:b/>
        </w:rPr>
        <w:t>Natural resource features</w:t>
      </w:r>
    </w:p>
    <w:p w:rsidR="002551E6" w:rsidRPr="002551E6" w:rsidRDefault="002551E6" w:rsidP="002551E6">
      <w:pPr>
        <w:pStyle w:val="ListBullet"/>
      </w:pPr>
      <w:r w:rsidRPr="002551E6">
        <w:t>areas with potential for extractive industries (stone, sand, clay, soil)</w:t>
      </w:r>
    </w:p>
    <w:p w:rsidR="002551E6" w:rsidRPr="002551E6" w:rsidRDefault="002551E6" w:rsidP="002551E6">
      <w:pPr>
        <w:pStyle w:val="ListBullet"/>
      </w:pPr>
      <w:r w:rsidRPr="002551E6">
        <w:t>areas of productive agricultural land (existing or potential)</w:t>
      </w:r>
    </w:p>
    <w:p w:rsidR="002551E6" w:rsidRPr="002551E6" w:rsidRDefault="002551E6" w:rsidP="002551E6">
      <w:pPr>
        <w:pStyle w:val="ListBullet"/>
      </w:pPr>
      <w:r w:rsidRPr="002551E6">
        <w:t>timber reserves</w:t>
      </w:r>
    </w:p>
    <w:p w:rsidR="002551E6" w:rsidRPr="002551E6" w:rsidRDefault="002551E6" w:rsidP="002551E6">
      <w:pPr>
        <w:pStyle w:val="ListBullet"/>
      </w:pPr>
      <w:r w:rsidRPr="002551E6">
        <w:t>water-supply catchments</w:t>
      </w:r>
    </w:p>
    <w:p w:rsidR="002551E6" w:rsidRPr="002551E6" w:rsidRDefault="002551E6" w:rsidP="002551E6">
      <w:pPr>
        <w:pStyle w:val="ListBullet"/>
      </w:pPr>
      <w:r w:rsidRPr="002551E6">
        <w:t>areas considered suited to waste-water reuse</w:t>
      </w:r>
    </w:p>
    <w:p w:rsidR="002551E6" w:rsidRPr="002551E6" w:rsidRDefault="002551E6" w:rsidP="002551E6">
      <w:pPr>
        <w:rPr>
          <w:b/>
        </w:rPr>
      </w:pPr>
      <w:r w:rsidRPr="002551E6">
        <w:rPr>
          <w:b/>
        </w:rPr>
        <w:t>Community value features</w:t>
      </w:r>
    </w:p>
    <w:p w:rsidR="002551E6" w:rsidRPr="002551E6" w:rsidRDefault="002551E6" w:rsidP="002551E6">
      <w:pPr>
        <w:pStyle w:val="ListBullet"/>
      </w:pPr>
      <w:r w:rsidRPr="002551E6">
        <w:t>areas of recognised landscape value</w:t>
      </w:r>
    </w:p>
    <w:p w:rsidR="002551E6" w:rsidRPr="002551E6" w:rsidRDefault="002551E6" w:rsidP="002551E6">
      <w:pPr>
        <w:pStyle w:val="ListBullet"/>
      </w:pPr>
      <w:r w:rsidRPr="002551E6">
        <w:t>areas used or suited for recreation – public and private</w:t>
      </w:r>
    </w:p>
    <w:p w:rsidR="002551E6" w:rsidRPr="002551E6" w:rsidRDefault="002551E6" w:rsidP="002551E6">
      <w:pPr>
        <w:pStyle w:val="ListBullet"/>
      </w:pPr>
      <w:r w:rsidRPr="002551E6">
        <w:t>open landscapes separating and distinguishing different urban communities</w:t>
      </w:r>
    </w:p>
    <w:p w:rsidR="002551E6" w:rsidRPr="002551E6" w:rsidRDefault="002551E6" w:rsidP="002551E6">
      <w:pPr>
        <w:rPr>
          <w:b/>
        </w:rPr>
      </w:pPr>
      <w:r w:rsidRPr="002551E6">
        <w:rPr>
          <w:b/>
        </w:rPr>
        <w:t>Existing policy features</w:t>
      </w:r>
    </w:p>
    <w:p w:rsidR="002551E6" w:rsidRPr="002551E6" w:rsidRDefault="002551E6" w:rsidP="002551E6">
      <w:pPr>
        <w:pStyle w:val="ListBullet"/>
      </w:pPr>
      <w:r w:rsidRPr="002551E6">
        <w:t>areas identified at state level as off-limits to urban development, for example,</w:t>
      </w:r>
      <w:r>
        <w:t xml:space="preserve"> </w:t>
      </w:r>
      <w:r w:rsidRPr="002551E6">
        <w:t>Mornington Peninsula, Yarra Valley, Dandenong Ranges, Macedon Ranges</w:t>
      </w:r>
    </w:p>
    <w:p w:rsidR="002551E6" w:rsidRPr="002551E6" w:rsidRDefault="002551E6" w:rsidP="002551E6">
      <w:pPr>
        <w:pStyle w:val="ListBullet"/>
      </w:pPr>
      <w:r w:rsidRPr="002551E6">
        <w:t>land identified in local policy instruments as preferred non-urban areas</w:t>
      </w:r>
    </w:p>
    <w:p w:rsidR="002551E6" w:rsidRPr="002551E6" w:rsidRDefault="002551E6" w:rsidP="002551E6">
      <w:pPr>
        <w:rPr>
          <w:b/>
        </w:rPr>
      </w:pPr>
      <w:r w:rsidRPr="002551E6">
        <w:rPr>
          <w:b/>
        </w:rPr>
        <w:t>Physical/safety features</w:t>
      </w:r>
    </w:p>
    <w:p w:rsidR="002551E6" w:rsidRPr="002551E6" w:rsidRDefault="002551E6" w:rsidP="002551E6">
      <w:pPr>
        <w:pStyle w:val="ListBullet"/>
      </w:pPr>
      <w:r w:rsidRPr="002551E6">
        <w:t>areas of flooding and drainage difficulty</w:t>
      </w:r>
    </w:p>
    <w:p w:rsidR="002551E6" w:rsidRPr="002551E6" w:rsidRDefault="002551E6" w:rsidP="002551E6">
      <w:pPr>
        <w:pStyle w:val="ListBullet"/>
      </w:pPr>
      <w:r w:rsidRPr="002551E6">
        <w:t>areas of high fire hazard</w:t>
      </w:r>
    </w:p>
    <w:p w:rsidR="002551E6" w:rsidRPr="002551E6" w:rsidRDefault="002551E6" w:rsidP="002551E6">
      <w:pPr>
        <w:pStyle w:val="ListBullet"/>
      </w:pPr>
      <w:r w:rsidRPr="002551E6">
        <w:t>steep land subject to erosion and/or subsidence</w:t>
      </w:r>
    </w:p>
    <w:p w:rsidR="002551E6" w:rsidRPr="002551E6" w:rsidRDefault="002551E6" w:rsidP="002551E6">
      <w:pPr>
        <w:pStyle w:val="ListBullet"/>
      </w:pPr>
      <w:r w:rsidRPr="002551E6">
        <w:t>coastal land subject to erosion</w:t>
      </w:r>
    </w:p>
    <w:p w:rsidR="002551E6" w:rsidRPr="002551E6" w:rsidRDefault="002551E6" w:rsidP="002551E6">
      <w:pPr>
        <w:pStyle w:val="ListBullet"/>
      </w:pPr>
      <w:r w:rsidRPr="002551E6">
        <w:t>land with effluent absorption constraints (septic systems)</w:t>
      </w:r>
    </w:p>
    <w:p w:rsidR="002551E6" w:rsidRPr="002551E6" w:rsidRDefault="002551E6" w:rsidP="002551E6">
      <w:pPr>
        <w:pStyle w:val="ListBullet"/>
      </w:pPr>
      <w:r w:rsidRPr="002551E6">
        <w:lastRenderedPageBreak/>
        <w:t>areas of contaminated land</w:t>
      </w:r>
    </w:p>
    <w:p w:rsidR="002551E6" w:rsidRPr="002551E6" w:rsidRDefault="002551E6" w:rsidP="002551E6">
      <w:pPr>
        <w:rPr>
          <w:b/>
        </w:rPr>
      </w:pPr>
      <w:r w:rsidRPr="002551E6">
        <w:rPr>
          <w:b/>
        </w:rPr>
        <w:t>Trunk servicing features</w:t>
      </w:r>
    </w:p>
    <w:p w:rsidR="002551E6" w:rsidRPr="002551E6" w:rsidRDefault="002551E6" w:rsidP="002551E6">
      <w:pPr>
        <w:pStyle w:val="ListBullet"/>
      </w:pPr>
      <w:r w:rsidRPr="002551E6">
        <w:t>areas remote from public transport corridors</w:t>
      </w:r>
    </w:p>
    <w:p w:rsidR="002551E6" w:rsidRPr="002551E6" w:rsidRDefault="002551E6" w:rsidP="002551E6">
      <w:pPr>
        <w:pStyle w:val="ListBullet"/>
      </w:pPr>
      <w:r w:rsidRPr="002551E6">
        <w:t>areas with constraints in providing physical and social services</w:t>
      </w:r>
    </w:p>
    <w:p w:rsidR="002551E6" w:rsidRPr="002551E6" w:rsidRDefault="002551E6" w:rsidP="002551E6">
      <w:pPr>
        <w:pStyle w:val="ListBullet"/>
      </w:pPr>
      <w:r w:rsidRPr="002551E6">
        <w:t>areas near high-voltage transmission lines and major gas pipelines</w:t>
      </w:r>
    </w:p>
    <w:p w:rsidR="002551E6" w:rsidRPr="002551E6" w:rsidRDefault="002551E6" w:rsidP="002551E6">
      <w:pPr>
        <w:rPr>
          <w:b/>
        </w:rPr>
      </w:pPr>
      <w:r w:rsidRPr="002551E6">
        <w:rPr>
          <w:b/>
        </w:rPr>
        <w:t>Major facility features</w:t>
      </w:r>
    </w:p>
    <w:p w:rsidR="002551E6" w:rsidRDefault="002551E6" w:rsidP="002551E6">
      <w:pPr>
        <w:pStyle w:val="ListBullet"/>
      </w:pPr>
      <w:r w:rsidRPr="002551E6">
        <w:t>locations used for or suited to airports and airfields</w:t>
      </w:r>
    </w:p>
    <w:p w:rsidR="002551E6" w:rsidRPr="002551E6" w:rsidRDefault="002551E6" w:rsidP="00D61CFD">
      <w:pPr>
        <w:pStyle w:val="ListBullet"/>
      </w:pPr>
      <w:r w:rsidRPr="002551E6">
        <w:t>locations used for sewage treatment</w:t>
      </w:r>
    </w:p>
    <w:p w:rsidR="002551E6" w:rsidRPr="002551E6" w:rsidRDefault="002551E6" w:rsidP="00D61CFD">
      <w:pPr>
        <w:pStyle w:val="ListBullet"/>
      </w:pPr>
      <w:r w:rsidRPr="002551E6">
        <w:t>locations used for or suited to waste disposal and recycling</w:t>
      </w:r>
    </w:p>
    <w:p w:rsidR="002551E6" w:rsidRPr="002551E6" w:rsidRDefault="002551E6" w:rsidP="00D61CFD">
      <w:pPr>
        <w:pStyle w:val="ListBullet"/>
      </w:pPr>
      <w:r w:rsidRPr="002551E6">
        <w:t>locations used for prisons and other institutional uses</w:t>
      </w:r>
    </w:p>
    <w:p w:rsidR="002551E6" w:rsidRPr="00D61CFD" w:rsidRDefault="002551E6" w:rsidP="002551E6">
      <w:pPr>
        <w:rPr>
          <w:b/>
        </w:rPr>
      </w:pPr>
      <w:r w:rsidRPr="00D61CFD">
        <w:rPr>
          <w:b/>
        </w:rPr>
        <w:t>Potential land use conflict features</w:t>
      </w:r>
    </w:p>
    <w:p w:rsidR="002551E6" w:rsidRPr="002551E6" w:rsidRDefault="002551E6" w:rsidP="00D61CFD">
      <w:pPr>
        <w:pStyle w:val="ListBullet"/>
      </w:pPr>
      <w:r w:rsidRPr="002551E6">
        <w:t>buffer areas required around uses with</w:t>
      </w:r>
      <w:r w:rsidR="00D61CFD">
        <w:t xml:space="preserve"> off-site effects, for example, </w:t>
      </w:r>
      <w:r w:rsidRPr="002551E6">
        <w:t>Environment Protection Authority buffers and airport buffers</w:t>
      </w:r>
    </w:p>
    <w:p w:rsidR="002551E6" w:rsidRPr="002551E6" w:rsidRDefault="002551E6" w:rsidP="00D61CFD">
      <w:pPr>
        <w:pStyle w:val="Heading3"/>
        <w:numPr>
          <w:ilvl w:val="0"/>
          <w:numId w:val="0"/>
        </w:numPr>
        <w:ind w:left="1077" w:hanging="1077"/>
      </w:pPr>
      <w:r w:rsidRPr="002551E6">
        <w:t>Melbourne’s green wedge history</w:t>
      </w:r>
    </w:p>
    <w:p w:rsidR="002551E6" w:rsidRPr="002551E6" w:rsidRDefault="002551E6" w:rsidP="002551E6">
      <w:proofErr w:type="gramStart"/>
      <w:r w:rsidRPr="002551E6">
        <w:t>Retention of … green areas in close proximity to urban development has</w:t>
      </w:r>
      <w:proofErr w:type="gramEnd"/>
      <w:r w:rsidR="00D61CFD">
        <w:t xml:space="preserve"> </w:t>
      </w:r>
      <w:r w:rsidRPr="002551E6">
        <w:t>been a feature of Melbourne since its inception…. Today, green wedges</w:t>
      </w:r>
      <w:r w:rsidR="00D61CFD">
        <w:t xml:space="preserve"> </w:t>
      </w:r>
      <w:r w:rsidRPr="002551E6">
        <w:t>form part of a green belt, a vital component of a ‘most liveable city’. We must</w:t>
      </w:r>
      <w:r w:rsidR="00D61CFD">
        <w:t xml:space="preserve"> </w:t>
      </w:r>
      <w:r w:rsidRPr="002551E6">
        <w:t>ensure adequate, unequivocal measures for their long term preservation as</w:t>
      </w:r>
      <w:r w:rsidR="00D61CFD">
        <w:t xml:space="preserve"> </w:t>
      </w:r>
      <w:r w:rsidRPr="002551E6">
        <w:t>part of a viable strategy for Melbourne and its hinterland … Melbourne 2030</w:t>
      </w:r>
      <w:r w:rsidR="00D61CFD">
        <w:t xml:space="preserve"> </w:t>
      </w:r>
      <w:r w:rsidRPr="002551E6">
        <w:t>is an important step in that direction (Harris 2005, p. 71).</w:t>
      </w:r>
    </w:p>
    <w:p w:rsidR="002551E6" w:rsidRPr="002551E6" w:rsidRDefault="002551E6" w:rsidP="002551E6">
      <w:r w:rsidRPr="002551E6">
        <w:t>Protecting the green spaces around the fringe of Melbourne from encroaching urban</w:t>
      </w:r>
      <w:r w:rsidR="00D61CFD">
        <w:t xml:space="preserve"> </w:t>
      </w:r>
      <w:r w:rsidRPr="002551E6">
        <w:t>development has been a hotly contested topic since the early 1900s. The basis of</w:t>
      </w:r>
      <w:r w:rsidR="00D61CFD">
        <w:t xml:space="preserve"> g</w:t>
      </w:r>
      <w:r w:rsidRPr="002551E6">
        <w:t>reen wedge planning is traceable to the British planning model which influenced</w:t>
      </w:r>
      <w:r w:rsidR="00D61CFD">
        <w:t xml:space="preserve"> </w:t>
      </w:r>
      <w:r w:rsidRPr="002551E6">
        <w:t>Australian town planning practices in the 1950s. The first description of a green</w:t>
      </w:r>
      <w:r w:rsidR="00D61CFD">
        <w:t xml:space="preserve"> </w:t>
      </w:r>
      <w:r w:rsidRPr="002551E6">
        <w:t>wedge was published in a 1959 Melbourne Metropolitan Board of Works (MMBW)</w:t>
      </w:r>
      <w:r w:rsidR="00D61CFD">
        <w:t xml:space="preserve"> </w:t>
      </w:r>
      <w:r w:rsidRPr="002551E6">
        <w:t>report: The problem of urban expansion in the Melbourne metropolitan area.</w:t>
      </w:r>
    </w:p>
    <w:p w:rsidR="002551E6" w:rsidRPr="002551E6" w:rsidRDefault="002551E6" w:rsidP="002551E6">
      <w:r w:rsidRPr="002551E6">
        <w:t>…controlled outward expansion [with] the development of compact</w:t>
      </w:r>
      <w:r w:rsidR="00D61CFD">
        <w:t xml:space="preserve"> </w:t>
      </w:r>
      <w:r w:rsidRPr="002551E6">
        <w:t>communities possibly separated by substantial but limited areas of open</w:t>
      </w:r>
      <w:r w:rsidR="00D61CFD">
        <w:t xml:space="preserve"> </w:t>
      </w:r>
      <w:r w:rsidRPr="002551E6">
        <w:t>space … [to] break up the urban mass and afford convenient opportunity for</w:t>
      </w:r>
      <w:r w:rsidR="00D61CFD">
        <w:t xml:space="preserve"> </w:t>
      </w:r>
      <w:r w:rsidRPr="002551E6">
        <w:t>relaxation, recreation and enjoyment in a natural environment (ibid., p. 22).</w:t>
      </w:r>
    </w:p>
    <w:p w:rsidR="002551E6" w:rsidRPr="002551E6" w:rsidRDefault="002551E6" w:rsidP="002551E6">
      <w:r w:rsidRPr="002551E6">
        <w:t>In 1966 Richard Hamer, Minister for Local Government, introduced the idea of green</w:t>
      </w:r>
      <w:r w:rsidR="00D61CFD">
        <w:t xml:space="preserve"> </w:t>
      </w:r>
      <w:r w:rsidRPr="002551E6">
        <w:t>wedges to protect non-urban areas and, in 1968</w:t>
      </w:r>
      <w:r w:rsidR="00D61CFD">
        <w:t xml:space="preserve">, the state government formally </w:t>
      </w:r>
      <w:r w:rsidRPr="002551E6">
        <w:t>adopted a green wedge strategy. The MMBW developed this further in its report</w:t>
      </w:r>
      <w:r w:rsidR="00D61CFD">
        <w:t xml:space="preserve"> </w:t>
      </w:r>
      <w:proofErr w:type="gramStart"/>
      <w:r w:rsidRPr="002551E6">
        <w:t>Planning</w:t>
      </w:r>
      <w:proofErr w:type="gramEnd"/>
      <w:r w:rsidRPr="002551E6">
        <w:t xml:space="preserve"> policies for the Melbourne metropolitan region which proposed designating</w:t>
      </w:r>
      <w:r w:rsidR="00D61CFD">
        <w:t xml:space="preserve"> </w:t>
      </w:r>
      <w:r w:rsidRPr="002551E6">
        <w:t>permanent green wedges (Harris 2005, p. 37, 38).</w:t>
      </w:r>
    </w:p>
    <w:p w:rsidR="002551E6" w:rsidRDefault="002551E6" w:rsidP="00D61CFD">
      <w:r w:rsidRPr="002551E6">
        <w:t>The Victorian Government’s Melbourne 2030: planning for sustainable development</w:t>
      </w:r>
      <w:r w:rsidR="00D61CFD">
        <w:t xml:space="preserve"> </w:t>
      </w:r>
      <w:r w:rsidRPr="002551E6">
        <w:t>(2002) picks up this longstanding intention with the introduction of the metropolitan</w:t>
      </w:r>
      <w:r w:rsidR="00D61CFD">
        <w:t xml:space="preserve"> </w:t>
      </w:r>
      <w:r w:rsidRPr="002551E6">
        <w:t xml:space="preserve">urban </w:t>
      </w:r>
      <w:r w:rsidRPr="002551E6">
        <w:lastRenderedPageBreak/>
        <w:t>growth boundary (UGB). The UGB defines the boundary between urban and</w:t>
      </w:r>
      <w:r w:rsidR="00D61CFD">
        <w:t xml:space="preserve"> </w:t>
      </w:r>
      <w:r w:rsidRPr="002551E6">
        <w:t>non-urban areas and prevents the unconstrained outward expansion of residential</w:t>
      </w:r>
      <w:r w:rsidR="00D61CFD">
        <w:t xml:space="preserve"> </w:t>
      </w:r>
      <w:r w:rsidRPr="002551E6">
        <w:t>development. Under the Planning and Environment Act 1987 urban growth</w:t>
      </w:r>
      <w:r w:rsidR="00D61CFD">
        <w:t xml:space="preserve"> </w:t>
      </w:r>
      <w:r w:rsidRPr="002551E6">
        <w:t>boundaries cannot be altered without positive ratification by both houses of</w:t>
      </w:r>
      <w:r w:rsidR="00D61CFD">
        <w:t xml:space="preserve"> </w:t>
      </w:r>
      <w:r w:rsidRPr="002551E6">
        <w:t>Parliament. It is a step towards ensuring the future conservation of the green</w:t>
      </w:r>
      <w:r w:rsidR="00D61CFD">
        <w:t xml:space="preserve"> </w:t>
      </w:r>
      <w:r w:rsidRPr="002551E6">
        <w:t>wedges, which have been a concern for community and government for more than</w:t>
      </w:r>
      <w:r w:rsidR="00D61CFD">
        <w:t xml:space="preserve"> </w:t>
      </w:r>
      <w:r w:rsidRPr="002551E6">
        <w:t>100 years. At the end of 2008, the Victorian Government indicated that it would,</w:t>
      </w:r>
      <w:r w:rsidR="00D61CFD">
        <w:t xml:space="preserve"> </w:t>
      </w:r>
      <w:r w:rsidRPr="002551E6">
        <w:t>through Melbourne @ 5 Million, review the position of the metropolitan UGB in</w:t>
      </w:r>
      <w:r w:rsidR="00D61CFD">
        <w:t xml:space="preserve"> </w:t>
      </w:r>
      <w:r w:rsidRPr="002551E6">
        <w:t>existing growth areas. It did this by passing Amendment VC68 through Parliament in</w:t>
      </w:r>
      <w:r w:rsidR="00D61CFD">
        <w:t xml:space="preserve"> </w:t>
      </w:r>
      <w:r w:rsidRPr="002551E6">
        <w:t>2010. There is no intention to review the UGB in other areas.</w:t>
      </w:r>
    </w:p>
    <w:p w:rsidR="00D61CFD" w:rsidRDefault="00D61CFD">
      <w:r>
        <w:br w:type="page"/>
      </w:r>
    </w:p>
    <w:p w:rsidR="00D61CFD" w:rsidRPr="00D61CFD" w:rsidRDefault="00D61CFD" w:rsidP="00D61CFD">
      <w:pPr>
        <w:pStyle w:val="Heading2"/>
        <w:numPr>
          <w:ilvl w:val="0"/>
          <w:numId w:val="0"/>
        </w:numPr>
        <w:ind w:left="1077" w:hanging="1077"/>
      </w:pPr>
      <w:r w:rsidRPr="00D61CFD">
        <w:lastRenderedPageBreak/>
        <w:t>Appendix 2 – natural and cultural values of the Nillumbik</w:t>
      </w:r>
      <w:r>
        <w:t xml:space="preserve"> </w:t>
      </w:r>
      <w:r w:rsidRPr="00D61CFD">
        <w:t>Green Wedge</w:t>
      </w:r>
    </w:p>
    <w:p w:rsidR="00D61CFD" w:rsidRPr="00D61CFD" w:rsidRDefault="00D61CFD" w:rsidP="00D61CFD">
      <w:r w:rsidRPr="00D61CFD">
        <w:t>There are many influences, both natural and cultural, that have shaped the Shire of</w:t>
      </w:r>
      <w:r>
        <w:t xml:space="preserve"> </w:t>
      </w:r>
      <w:r w:rsidRPr="00D61CFD">
        <w:t>Nillumbik, and its green wedge, over the centuries. Th</w:t>
      </w:r>
      <w:r>
        <w:t xml:space="preserve">is section outlines the natural </w:t>
      </w:r>
      <w:r w:rsidRPr="00D61CFD">
        <w:t>and the cultural values of the Nillumbik Green Wedge including Aboriginal and</w:t>
      </w:r>
      <w:r>
        <w:t xml:space="preserve"> </w:t>
      </w:r>
      <w:r w:rsidRPr="00D61CFD">
        <w:t>European history and influences. In considering the current day challenges we must</w:t>
      </w:r>
      <w:r>
        <w:t xml:space="preserve"> </w:t>
      </w:r>
      <w:r w:rsidRPr="00D61CFD">
        <w:t>address, it helps to understand just how much has changed in the last 150 years.</w:t>
      </w:r>
    </w:p>
    <w:p w:rsidR="00D61CFD" w:rsidRPr="00D61CFD" w:rsidRDefault="00D61CFD" w:rsidP="00D61CFD">
      <w:r w:rsidRPr="00D61CFD">
        <w:t xml:space="preserve">Historical information is drawn from council’s heritage study, </w:t>
      </w:r>
      <w:r>
        <w:t xml:space="preserve">Green Wedge </w:t>
      </w:r>
      <w:r w:rsidRPr="00D61CFD">
        <w:t>Background report and reports on Aboriginal heritage in the Shire of Nillumbik:</w:t>
      </w:r>
    </w:p>
    <w:p w:rsidR="00D61CFD" w:rsidRPr="00D61CFD" w:rsidRDefault="00D61CFD" w:rsidP="00D61CFD">
      <w:r w:rsidRPr="00D61CFD">
        <w:t>Butler, G &amp; Associates 1996, ‘Nillumbik Shire</w:t>
      </w:r>
      <w:r>
        <w:t xml:space="preserve"> Heritage Study Stage 1, Vol. 2 </w:t>
      </w:r>
      <w:r w:rsidRPr="00D61CFD">
        <w:t>Environmental History’, unpublished study</w:t>
      </w:r>
    </w:p>
    <w:p w:rsidR="00D61CFD" w:rsidRPr="00D61CFD" w:rsidRDefault="00D61CFD" w:rsidP="00D61CFD">
      <w:proofErr w:type="spellStart"/>
      <w:r w:rsidRPr="00D61CFD">
        <w:t>Ellender</w:t>
      </w:r>
      <w:proofErr w:type="spellEnd"/>
      <w:r w:rsidRPr="00D61CFD">
        <w:t>, I 1989, The Plenty Valley Corrido</w:t>
      </w:r>
      <w:r>
        <w:t xml:space="preserve">r: The Archaeological Survey of </w:t>
      </w:r>
      <w:r w:rsidRPr="00D61CFD">
        <w:t>Aboriginal Sites, unpublished survey</w:t>
      </w:r>
    </w:p>
    <w:p w:rsidR="00D61CFD" w:rsidRPr="00D61CFD" w:rsidRDefault="00D61CFD" w:rsidP="00D61CFD">
      <w:proofErr w:type="spellStart"/>
      <w:r w:rsidRPr="00D61CFD">
        <w:t>Ellender</w:t>
      </w:r>
      <w:proofErr w:type="spellEnd"/>
      <w:r w:rsidRPr="00D61CFD">
        <w:t xml:space="preserve">, I 1994, The Aboriginal Heritage of the Shire of Eltham, </w:t>
      </w:r>
      <w:r>
        <w:t xml:space="preserve">unpublished </w:t>
      </w:r>
      <w:r w:rsidRPr="00D61CFD">
        <w:t>study</w:t>
      </w:r>
    </w:p>
    <w:p w:rsidR="00D61CFD" w:rsidRPr="00D61CFD" w:rsidRDefault="00D61CFD" w:rsidP="00D61CFD">
      <w:r w:rsidRPr="00D61CFD">
        <w:t xml:space="preserve">Du </w:t>
      </w:r>
      <w:proofErr w:type="spellStart"/>
      <w:r w:rsidRPr="00D61CFD">
        <w:t>Cros</w:t>
      </w:r>
      <w:proofErr w:type="spellEnd"/>
      <w:r w:rsidRPr="00D61CFD">
        <w:t xml:space="preserve"> &amp; Associates 1996, Nillumbik Sh</w:t>
      </w:r>
      <w:r>
        <w:t xml:space="preserve">ire Council Aboriginal Heritage </w:t>
      </w:r>
      <w:r w:rsidRPr="00D61CFD">
        <w:t>Study, unpublished study</w:t>
      </w:r>
    </w:p>
    <w:p w:rsidR="00D61CFD" w:rsidRPr="00D61CFD" w:rsidRDefault="00D61CFD" w:rsidP="00D61CFD">
      <w:proofErr w:type="spellStart"/>
      <w:proofErr w:type="gramStart"/>
      <w:r w:rsidRPr="00D61CFD">
        <w:t>Tardis</w:t>
      </w:r>
      <w:proofErr w:type="spellEnd"/>
      <w:r w:rsidRPr="00D61CFD">
        <w:t xml:space="preserve"> Enterprises 2006, Nillumbik Shire Heritage Review</w:t>
      </w:r>
      <w:r>
        <w:t xml:space="preserve">, unpublished </w:t>
      </w:r>
      <w:r w:rsidRPr="00D61CFD">
        <w:t>review.</w:t>
      </w:r>
      <w:proofErr w:type="gramEnd"/>
    </w:p>
    <w:p w:rsidR="00D61CFD" w:rsidRPr="00D61CFD" w:rsidRDefault="00D61CFD" w:rsidP="00D61CFD">
      <w:r w:rsidRPr="00D61CFD">
        <w:t>Geological information is from Nillumbik Shire Council Land Capability Study, 1998.</w:t>
      </w:r>
      <w:r>
        <w:t xml:space="preserve"> </w:t>
      </w:r>
      <w:r w:rsidRPr="00D61CFD">
        <w:t xml:space="preserve">Biodiversity (flora and fauna) data is based on a </w:t>
      </w:r>
      <w:r>
        <w:t xml:space="preserve">comprehensive and well regarded </w:t>
      </w:r>
      <w:r w:rsidRPr="00D61CFD">
        <w:t>1997 study – the NEROC report (</w:t>
      </w:r>
      <w:proofErr w:type="spellStart"/>
      <w:r w:rsidRPr="00D61CFD">
        <w:t>Beardsell</w:t>
      </w:r>
      <w:proofErr w:type="spellEnd"/>
      <w:r w:rsidRPr="00D61CFD">
        <w:t xml:space="preserve"> 1997). This study illustrated the</w:t>
      </w:r>
      <w:r>
        <w:t xml:space="preserve"> </w:t>
      </w:r>
      <w:r w:rsidRPr="00D61CFD">
        <w:t>environmental significance of the Nillumbik environment. It will be reviewed in</w:t>
      </w:r>
      <w:r>
        <w:t xml:space="preserve"> </w:t>
      </w:r>
      <w:r w:rsidRPr="00D61CFD">
        <w:t>2010/2011 as an action arising from the GWMP. Economic and population statistics</w:t>
      </w:r>
      <w:r>
        <w:t xml:space="preserve"> </w:t>
      </w:r>
      <w:r w:rsidRPr="00D61CFD">
        <w:t>were researched in 2008.</w:t>
      </w:r>
    </w:p>
    <w:p w:rsidR="00D61CFD" w:rsidRPr="00D61CFD" w:rsidRDefault="00D61CFD" w:rsidP="00D61CFD">
      <w:pPr>
        <w:pStyle w:val="Heading3"/>
        <w:numPr>
          <w:ilvl w:val="0"/>
          <w:numId w:val="0"/>
        </w:numPr>
        <w:ind w:left="1077" w:hanging="1077"/>
      </w:pPr>
      <w:r w:rsidRPr="00D61CFD">
        <w:t>Natural values</w:t>
      </w:r>
    </w:p>
    <w:p w:rsidR="00D61CFD" w:rsidRPr="00D61CFD" w:rsidRDefault="00D61CFD" w:rsidP="00D61CFD">
      <w:pPr>
        <w:rPr>
          <w:b/>
        </w:rPr>
      </w:pPr>
      <w:r w:rsidRPr="00D61CFD">
        <w:rPr>
          <w:b/>
        </w:rPr>
        <w:t>Geology</w:t>
      </w:r>
    </w:p>
    <w:p w:rsidR="00D61CFD" w:rsidRDefault="00D61CFD" w:rsidP="00D61CFD">
      <w:r w:rsidRPr="00D61CFD">
        <w:t>The geology of the Nillumbik Green Wedge is mainly Devonian and Silurian</w:t>
      </w:r>
      <w:r>
        <w:t xml:space="preserve"> </w:t>
      </w:r>
      <w:r w:rsidRPr="00D61CFD">
        <w:t>sedimentary rocks. However, there are variations and in the south, near the Yarra</w:t>
      </w:r>
      <w:r>
        <w:t xml:space="preserve"> </w:t>
      </w:r>
      <w:r w:rsidRPr="00D61CFD">
        <w:t>and Plenty Rivers, there is siltstone, calcareous sand and dune limestone. The</w:t>
      </w:r>
      <w:r>
        <w:t xml:space="preserve"> </w:t>
      </w:r>
      <w:r w:rsidRPr="00D61CFD">
        <w:t>remaining areas, including the Kinglake Ranges, are siltstone, sandstone, slate and</w:t>
      </w:r>
      <w:r>
        <w:t xml:space="preserve"> </w:t>
      </w:r>
      <w:r w:rsidRPr="00D61CFD">
        <w:t>limestone. Geological folding has created a series of north-south ridges and valleys.</w:t>
      </w:r>
    </w:p>
    <w:p w:rsidR="00D61CFD" w:rsidRPr="00D61CFD" w:rsidRDefault="00D61CFD" w:rsidP="00D61CFD">
      <w:r w:rsidRPr="00D61CFD">
        <w:t>One notable exception to the relatively uniform geology is a small volcanic plateau</w:t>
      </w:r>
      <w:r>
        <w:t xml:space="preserve"> </w:t>
      </w:r>
      <w:r w:rsidRPr="00D61CFD">
        <w:t>covering an area of 2.8 km2. At its centre (the eruption point) is one of the Nillumbik</w:t>
      </w:r>
      <w:r>
        <w:t xml:space="preserve"> </w:t>
      </w:r>
      <w:r w:rsidRPr="00D61CFD">
        <w:t>Green Wedge’s best known landmarks: the site of Kangaroo Ground War Memorial</w:t>
      </w:r>
      <w:r>
        <w:t xml:space="preserve"> </w:t>
      </w:r>
      <w:r w:rsidRPr="00D61CFD">
        <w:t>Tower and viewing platform at Kangaroo Ground. The land system here is Tertiary</w:t>
      </w:r>
      <w:r>
        <w:t xml:space="preserve"> </w:t>
      </w:r>
      <w:r w:rsidRPr="00D61CFD">
        <w:t>basalt overlying Silurian sediments.</w:t>
      </w:r>
    </w:p>
    <w:p w:rsidR="00D61CFD" w:rsidRPr="00D61CFD" w:rsidRDefault="00D61CFD" w:rsidP="00D61CFD">
      <w:pPr>
        <w:rPr>
          <w:b/>
        </w:rPr>
      </w:pPr>
      <w:r w:rsidRPr="00D61CFD">
        <w:rPr>
          <w:b/>
        </w:rPr>
        <w:t>Land systems</w:t>
      </w:r>
    </w:p>
    <w:p w:rsidR="00D61CFD" w:rsidRPr="00D61CFD" w:rsidRDefault="00D61CFD" w:rsidP="00D61CFD">
      <w:r w:rsidRPr="00D61CFD">
        <w:t>The Shire of Nillumbik is predominantly an undulating landscape. Lowland hills and</w:t>
      </w:r>
      <w:r>
        <w:t xml:space="preserve"> </w:t>
      </w:r>
      <w:r w:rsidRPr="00D61CFD">
        <w:t>alluvial plains with ridgelines less than 200 m in elevation dominate in the south.</w:t>
      </w:r>
      <w:r>
        <w:t xml:space="preserve"> </w:t>
      </w:r>
      <w:r w:rsidRPr="00D61CFD">
        <w:t>Further north, the country becomes steeper and comprises upland hills with</w:t>
      </w:r>
      <w:r>
        <w:t xml:space="preserve"> </w:t>
      </w:r>
      <w:r w:rsidRPr="00D61CFD">
        <w:t xml:space="preserve">ridgelines of over 200 m. Near </w:t>
      </w:r>
      <w:r w:rsidRPr="00D61CFD">
        <w:lastRenderedPageBreak/>
        <w:t>the shire's northern boundary the more mountainous terrain of the Kinglake Ranges of the Great Dividing Range has elevations typically</w:t>
      </w:r>
      <w:r>
        <w:t xml:space="preserve"> </w:t>
      </w:r>
      <w:r w:rsidRPr="00D61CFD">
        <w:t>over 400 m.</w:t>
      </w:r>
    </w:p>
    <w:p w:rsidR="00D61CFD" w:rsidRPr="00D61CFD" w:rsidRDefault="00D61CFD" w:rsidP="00D61CFD">
      <w:r w:rsidRPr="00D61CFD">
        <w:t>The Nillumbik Land Capability Study was produced in 1998 and found that the</w:t>
      </w:r>
      <w:r>
        <w:t xml:space="preserve"> </w:t>
      </w:r>
      <w:r w:rsidRPr="00D61CFD">
        <w:t>majority of the shire has thin soils with poor structure and low inherent fertility. To</w:t>
      </w:r>
      <w:r>
        <w:t xml:space="preserve"> </w:t>
      </w:r>
      <w:r w:rsidRPr="00D61CFD">
        <w:t>offset this, the area has relatively high and reliable rainfall and a long growing</w:t>
      </w:r>
      <w:r>
        <w:t xml:space="preserve"> </w:t>
      </w:r>
      <w:r w:rsidRPr="00D61CFD">
        <w:t>season. The areas with gentle to moderate slopes (below 20%) are generally of</w:t>
      </w:r>
      <w:r>
        <w:t xml:space="preserve"> </w:t>
      </w:r>
      <w:r w:rsidRPr="00D61CFD">
        <w:t>average agricultural quality, but there are small areas of deeper, better structured</w:t>
      </w:r>
      <w:r>
        <w:t xml:space="preserve"> </w:t>
      </w:r>
      <w:r w:rsidRPr="00D61CFD">
        <w:t>soils. Most notably the 2.8 km2 of volcanic soils at Kangaroo Ground are of average</w:t>
      </w:r>
      <w:r>
        <w:t xml:space="preserve"> </w:t>
      </w:r>
      <w:r w:rsidRPr="00D61CFD">
        <w:t>to high agricultural quality.</w:t>
      </w:r>
    </w:p>
    <w:p w:rsidR="00D61CFD" w:rsidRPr="00D61CFD" w:rsidRDefault="00D61CFD" w:rsidP="00D61CFD">
      <w:r w:rsidRPr="00D61CFD">
        <w:t>The capability study identified land systems, which are areas with similar rainfall,</w:t>
      </w:r>
      <w:r>
        <w:t xml:space="preserve"> </w:t>
      </w:r>
      <w:r w:rsidRPr="00D61CFD">
        <w:t>geology, topography and indigenous vegetation. There are five land systems present</w:t>
      </w:r>
      <w:r>
        <w:t xml:space="preserve"> </w:t>
      </w:r>
      <w:r w:rsidRPr="00D61CFD">
        <w:t>within the Nillumbik Green Wedge and a summary of these systems is provided</w:t>
      </w:r>
      <w:r>
        <w:t xml:space="preserve"> </w:t>
      </w:r>
      <w:r w:rsidRPr="00D61CFD">
        <w:t>below.</w:t>
      </w:r>
    </w:p>
    <w:p w:rsidR="00D61CFD" w:rsidRPr="00D61CFD" w:rsidRDefault="00D61CFD" w:rsidP="00D61CFD">
      <w:pPr>
        <w:rPr>
          <w:b/>
        </w:rPr>
      </w:pPr>
      <w:r w:rsidRPr="00D61CFD">
        <w:rPr>
          <w:b/>
        </w:rPr>
        <w:t>Arthurs Creek land system</w:t>
      </w:r>
    </w:p>
    <w:p w:rsidR="00D61CFD" w:rsidRPr="00D61CFD" w:rsidRDefault="00D61CFD" w:rsidP="00D61CFD">
      <w:r w:rsidRPr="00D61CFD">
        <w:t>This is the largest land system and it is fairly widely dispersed throughout the shire. It</w:t>
      </w:r>
      <w:r>
        <w:t xml:space="preserve"> </w:t>
      </w:r>
      <w:r w:rsidRPr="00D61CFD">
        <w:t>comprises low hills on sedimentary rock with duplex an</w:t>
      </w:r>
      <w:r>
        <w:t xml:space="preserve">d gradational soils with slopes </w:t>
      </w:r>
      <w:r w:rsidRPr="00D61CFD">
        <w:t>between 15% and 25% but up to 35%. Most of t</w:t>
      </w:r>
      <w:r>
        <w:t xml:space="preserve">he area has been cleared and is </w:t>
      </w:r>
      <w:r w:rsidRPr="00D61CFD">
        <w:t>used for grazing but it also contains areas of indigenous woodland or open forest.</w:t>
      </w:r>
      <w:r>
        <w:t xml:space="preserve"> </w:t>
      </w:r>
      <w:r w:rsidRPr="00D61CFD">
        <w:t>The land system has a high erosion hazard due to the hard-setting-surfaces which</w:t>
      </w:r>
      <w:r>
        <w:t xml:space="preserve"> </w:t>
      </w:r>
      <w:r w:rsidRPr="00D61CFD">
        <w:t>tend to increase run-off and dispersible clay soils.</w:t>
      </w:r>
    </w:p>
    <w:p w:rsidR="00D61CFD" w:rsidRPr="00D61CFD" w:rsidRDefault="00D61CFD" w:rsidP="00D61CFD">
      <w:r w:rsidRPr="00D61CFD">
        <w:t>Land in the Arthurs Creek land system is defined as being Class 3 (average quality).</w:t>
      </w:r>
    </w:p>
    <w:p w:rsidR="00D61CFD" w:rsidRPr="00D61CFD" w:rsidRDefault="00D61CFD" w:rsidP="00D61CFD">
      <w:pPr>
        <w:rPr>
          <w:b/>
        </w:rPr>
      </w:pPr>
      <w:r w:rsidRPr="00D61CFD">
        <w:rPr>
          <w:b/>
        </w:rPr>
        <w:t>Doreen land system</w:t>
      </w:r>
    </w:p>
    <w:p w:rsidR="00D61CFD" w:rsidRPr="00D61CFD" w:rsidRDefault="00D61CFD" w:rsidP="00D61CFD">
      <w:r w:rsidRPr="00D61CFD">
        <w:t>This land system comprises low, primarily gently undulating hills in the west of the</w:t>
      </w:r>
      <w:r>
        <w:t xml:space="preserve"> </w:t>
      </w:r>
      <w:r w:rsidRPr="00D61CFD">
        <w:t>shire. The bedrock is sedimentary with duplex and gradational soils. Slopes are</w:t>
      </w:r>
      <w:r>
        <w:t xml:space="preserve"> </w:t>
      </w:r>
      <w:r w:rsidRPr="00D61CFD">
        <w:t>predominantly gentle to moderate (5 to 15%) but in places are up to 25% and most of</w:t>
      </w:r>
      <w:r>
        <w:t xml:space="preserve"> </w:t>
      </w:r>
      <w:r w:rsidRPr="00D61CFD">
        <w:t>the area has been cleared and is used for grazing. As the soils have dispersible clay</w:t>
      </w:r>
      <w:r>
        <w:t xml:space="preserve"> </w:t>
      </w:r>
      <w:r w:rsidRPr="00D61CFD">
        <w:t>sub-soils the erosion hazard is high.</w:t>
      </w:r>
    </w:p>
    <w:p w:rsidR="00D61CFD" w:rsidRPr="00D61CFD" w:rsidRDefault="00D61CFD" w:rsidP="00D61CFD">
      <w:r w:rsidRPr="00D61CFD">
        <w:t>Land in the Doreen land system is defined as being Class 3 (average quality).</w:t>
      </w:r>
    </w:p>
    <w:p w:rsidR="00D61CFD" w:rsidRPr="00D61CFD" w:rsidRDefault="00D61CFD" w:rsidP="00D61CFD">
      <w:pPr>
        <w:rPr>
          <w:b/>
        </w:rPr>
      </w:pPr>
      <w:r w:rsidRPr="00D61CFD">
        <w:rPr>
          <w:b/>
        </w:rPr>
        <w:t>Kangaroo Ground land system</w:t>
      </w:r>
    </w:p>
    <w:p w:rsidR="00D61CFD" w:rsidRPr="00D61CFD" w:rsidRDefault="00D61CFD" w:rsidP="00D61CFD">
      <w:r w:rsidRPr="00D61CFD">
        <w:t>This small land system comprises 2.8 km2 of basalt capping at Kangaroo Ground.</w:t>
      </w:r>
      <w:r>
        <w:t xml:space="preserve"> </w:t>
      </w:r>
      <w:r w:rsidRPr="00D61CFD">
        <w:t>The topography is an undulating plain with slopes predominantly ranging from 5% to</w:t>
      </w:r>
      <w:r>
        <w:t xml:space="preserve"> </w:t>
      </w:r>
      <w:r w:rsidRPr="00D61CFD">
        <w:t>10%. The soil comprises black clay of uniform texture and course structure and the</w:t>
      </w:r>
      <w:r>
        <w:t xml:space="preserve"> </w:t>
      </w:r>
      <w:r w:rsidRPr="00D61CFD">
        <w:t>area has been cleared of indigenous vegetation and has been used for agriculture.</w:t>
      </w:r>
      <w:r>
        <w:t xml:space="preserve"> </w:t>
      </w:r>
      <w:r w:rsidRPr="00D61CFD">
        <w:t>Erosion and foundation movement are hazards in this system due to expansive clay</w:t>
      </w:r>
      <w:r>
        <w:t xml:space="preserve"> </w:t>
      </w:r>
      <w:r w:rsidRPr="00D61CFD">
        <w:t>soils.</w:t>
      </w:r>
    </w:p>
    <w:p w:rsidR="00D61CFD" w:rsidRPr="00D61CFD" w:rsidRDefault="00D61CFD" w:rsidP="00D61CFD">
      <w:r w:rsidRPr="00D61CFD">
        <w:t>Land in the Kangaroo Ground land system is defined as ranging from Class 2 (high</w:t>
      </w:r>
      <w:r>
        <w:t xml:space="preserve"> </w:t>
      </w:r>
      <w:r w:rsidRPr="00D61CFD">
        <w:t>agricultural quality) to Class 3 (average quality).</w:t>
      </w:r>
    </w:p>
    <w:p w:rsidR="00D61CFD" w:rsidRPr="00D61CFD" w:rsidRDefault="00D61CFD" w:rsidP="00D61CFD">
      <w:pPr>
        <w:rPr>
          <w:b/>
        </w:rPr>
      </w:pPr>
      <w:r w:rsidRPr="00D61CFD">
        <w:rPr>
          <w:b/>
        </w:rPr>
        <w:t>Skyline Road land system</w:t>
      </w:r>
    </w:p>
    <w:p w:rsidR="00D61CFD" w:rsidRDefault="00D61CFD" w:rsidP="00D61CFD">
      <w:r w:rsidRPr="00D61CFD">
        <w:t>Situated along the northern and eastern boundaries of the shire, this land system is</w:t>
      </w:r>
      <w:r>
        <w:t xml:space="preserve"> </w:t>
      </w:r>
      <w:r w:rsidRPr="00D61CFD">
        <w:t>characterised by long, high ridges and steep-to-ve</w:t>
      </w:r>
      <w:r>
        <w:t xml:space="preserve">ry-steep slopes. The geology is </w:t>
      </w:r>
      <w:r w:rsidRPr="00D61CFD">
        <w:t>sedimentary and soils are duplex or gradational; slopes are predominantly greater</w:t>
      </w:r>
      <w:r>
        <w:t xml:space="preserve"> </w:t>
      </w:r>
      <w:r w:rsidRPr="00D61CFD">
        <w:t>than 35%. Due to its steepness, most of the area is still covered with indigenous</w:t>
      </w:r>
      <w:r>
        <w:t xml:space="preserve"> </w:t>
      </w:r>
      <w:r w:rsidRPr="00D61CFD">
        <w:t xml:space="preserve">open forest. </w:t>
      </w:r>
      <w:r w:rsidRPr="00D61CFD">
        <w:lastRenderedPageBreak/>
        <w:t>The steep slopes are highly susceptible to erosion and moderately</w:t>
      </w:r>
      <w:r>
        <w:t xml:space="preserve"> </w:t>
      </w:r>
      <w:r w:rsidRPr="00D61CFD">
        <w:t>susceptible to landslip following earthworks or clearing.</w:t>
      </w:r>
    </w:p>
    <w:p w:rsidR="00D61CFD" w:rsidRPr="00D61CFD" w:rsidRDefault="00D61CFD" w:rsidP="00D61CFD">
      <w:r w:rsidRPr="00D61CFD">
        <w:t>Land in the Skyline Road land system ranges from Class 3 (average quality) to Class</w:t>
      </w:r>
      <w:r>
        <w:t xml:space="preserve"> </w:t>
      </w:r>
      <w:r w:rsidRPr="00D61CFD">
        <w:t>4 (poor).</w:t>
      </w:r>
    </w:p>
    <w:p w:rsidR="00D61CFD" w:rsidRPr="00D61CFD" w:rsidRDefault="00D61CFD" w:rsidP="00D61CFD">
      <w:pPr>
        <w:rPr>
          <w:b/>
        </w:rPr>
      </w:pPr>
      <w:r w:rsidRPr="00D61CFD">
        <w:rPr>
          <w:b/>
        </w:rPr>
        <w:t>St Andrews land system</w:t>
      </w:r>
    </w:p>
    <w:p w:rsidR="00D61CFD" w:rsidRPr="00D61CFD" w:rsidRDefault="00D61CFD" w:rsidP="00D61CFD">
      <w:r w:rsidRPr="00D61CFD">
        <w:t>This large land system is scattered throughout the shire but large concentrations</w:t>
      </w:r>
      <w:r>
        <w:t xml:space="preserve"> </w:t>
      </w:r>
      <w:r w:rsidRPr="00D61CFD">
        <w:t>occur at St Andrews, Christmas Hill and North Warrandyte/Research. It comprises</w:t>
      </w:r>
      <w:r>
        <w:t xml:space="preserve"> </w:t>
      </w:r>
      <w:r w:rsidRPr="00D61CFD">
        <w:t>steep hills on sedimentary rock with mostly shallow gradational and duplex soils.</w:t>
      </w:r>
      <w:r>
        <w:t xml:space="preserve"> </w:t>
      </w:r>
      <w:r w:rsidRPr="00D61CFD">
        <w:t>Slopes are predominantly greater than 35%, but there are small pockets with</w:t>
      </w:r>
      <w:r>
        <w:t xml:space="preserve"> </w:t>
      </w:r>
      <w:r w:rsidRPr="00D61CFD">
        <w:t>shallower slopes. Much of the area is still covered with indigenous woodland and</w:t>
      </w:r>
      <w:r>
        <w:t xml:space="preserve"> </w:t>
      </w:r>
      <w:r w:rsidRPr="00D61CFD">
        <w:t>erosion is an identified hazard.</w:t>
      </w:r>
    </w:p>
    <w:p w:rsidR="00D61CFD" w:rsidRPr="00D61CFD" w:rsidRDefault="00D61CFD" w:rsidP="00D61CFD">
      <w:r w:rsidRPr="00D61CFD">
        <w:t>Land in the St Andrews land system ranges from Class 3 (average quality) to Class 5</w:t>
      </w:r>
      <w:r>
        <w:t xml:space="preserve"> </w:t>
      </w:r>
      <w:r w:rsidRPr="00D61CFD">
        <w:t>(very poor).</w:t>
      </w:r>
    </w:p>
    <w:p w:rsidR="00D61CFD" w:rsidRPr="00D61CFD" w:rsidRDefault="00D61CFD" w:rsidP="00D61CFD">
      <w:pPr>
        <w:rPr>
          <w:b/>
        </w:rPr>
      </w:pPr>
      <w:r w:rsidRPr="00D61CFD">
        <w:rPr>
          <w:b/>
        </w:rPr>
        <w:t>Distribution of land systems</w:t>
      </w:r>
    </w:p>
    <w:p w:rsidR="00D61CFD" w:rsidRPr="00D61CFD" w:rsidRDefault="00D61CFD" w:rsidP="00D61CFD">
      <w:r w:rsidRPr="00D61CFD">
        <w:t>It is important to note that because of the extremely undulating nature of the</w:t>
      </w:r>
      <w:r>
        <w:t xml:space="preserve"> </w:t>
      </w:r>
      <w:r w:rsidRPr="00D61CFD">
        <w:t>Nillumbik landscape, it is common to find several land systems within a very small</w:t>
      </w:r>
      <w:r>
        <w:t xml:space="preserve"> </w:t>
      </w:r>
      <w:r w:rsidRPr="00D61CFD">
        <w:t>area. The land systems of Doreen, Kangaroo Ground and Skyline Road have easily</w:t>
      </w:r>
      <w:r w:rsidR="00503F9E">
        <w:t xml:space="preserve"> </w:t>
      </w:r>
      <w:r w:rsidRPr="00D61CFD">
        <w:t>defined boundaries. However the land systems of Arthurs Creek and St Andrews are</w:t>
      </w:r>
      <w:r w:rsidR="00503F9E">
        <w:t xml:space="preserve"> </w:t>
      </w:r>
      <w:r w:rsidRPr="00D61CFD">
        <w:t>less distinctly defined and are found throughout the central, eastern and southern</w:t>
      </w:r>
      <w:r w:rsidR="00503F9E">
        <w:t xml:space="preserve"> </w:t>
      </w:r>
      <w:r w:rsidRPr="00D61CFD">
        <w:t>areas of the shire. There are also a considerable number of variations in character</w:t>
      </w:r>
      <w:r w:rsidR="00503F9E">
        <w:t xml:space="preserve"> </w:t>
      </w:r>
      <w:r w:rsidRPr="00D61CFD">
        <w:t>within each land system.</w:t>
      </w:r>
    </w:p>
    <w:p w:rsidR="00D61CFD" w:rsidRPr="00503F9E" w:rsidRDefault="00D61CFD" w:rsidP="00D61CFD">
      <w:pPr>
        <w:rPr>
          <w:b/>
        </w:rPr>
      </w:pPr>
      <w:r w:rsidRPr="00503F9E">
        <w:rPr>
          <w:b/>
        </w:rPr>
        <w:t>Water</w:t>
      </w:r>
    </w:p>
    <w:p w:rsidR="00D61CFD" w:rsidRPr="00D61CFD" w:rsidRDefault="00D61CFD" w:rsidP="00D61CFD">
      <w:r w:rsidRPr="00D61CFD">
        <w:t>The Nillumbik Green Wedge is situated in the Yarra Drainage Basin and is bounded</w:t>
      </w:r>
      <w:r w:rsidR="00503F9E">
        <w:t xml:space="preserve"> </w:t>
      </w:r>
      <w:r w:rsidRPr="00D61CFD">
        <w:t>by the Plenty River in the west and the Yarra River in the south and south-east.</w:t>
      </w:r>
      <w:r w:rsidR="00503F9E">
        <w:t xml:space="preserve"> </w:t>
      </w:r>
      <w:r w:rsidRPr="00D61CFD">
        <w:t>Three major creeks run through the Nillumbik Green Wedge, these being the</w:t>
      </w:r>
      <w:r w:rsidR="00503F9E">
        <w:t xml:space="preserve"> </w:t>
      </w:r>
      <w:r w:rsidRPr="00D61CFD">
        <w:t>Diamond Creek, Watsons Creek and Arthurs Creek. Of these, only the Yarra and</w:t>
      </w:r>
      <w:r w:rsidR="00503F9E">
        <w:t xml:space="preserve"> </w:t>
      </w:r>
      <w:r w:rsidRPr="00D61CFD">
        <w:t>Plenty Rivers are perennial as their extensive catchments are in the highlands and</w:t>
      </w:r>
      <w:r w:rsidR="00503F9E">
        <w:t xml:space="preserve"> </w:t>
      </w:r>
      <w:r w:rsidRPr="00D61CFD">
        <w:t>are subject to high rainfall.</w:t>
      </w:r>
    </w:p>
    <w:p w:rsidR="00D61CFD" w:rsidRPr="00D61CFD" w:rsidRDefault="00D61CFD" w:rsidP="00D61CFD">
      <w:r w:rsidRPr="00D61CFD">
        <w:t>The quality of catchments and tributaries vary throughout the Nillumbik Green Wedge</w:t>
      </w:r>
      <w:r w:rsidR="00503F9E">
        <w:t xml:space="preserve"> </w:t>
      </w:r>
      <w:r w:rsidRPr="00D61CFD">
        <w:t>depending on land use and population levels. Ty</w:t>
      </w:r>
      <w:r w:rsidR="00503F9E">
        <w:t xml:space="preserve">pically, the northern areas are </w:t>
      </w:r>
      <w:r w:rsidRPr="00D61CFD">
        <w:t>characterised by the forested catchments of the</w:t>
      </w:r>
      <w:r w:rsidR="00503F9E">
        <w:t xml:space="preserve"> Kinglake Ranges and small fast </w:t>
      </w:r>
      <w:r w:rsidRPr="00D61CFD">
        <w:t>flowing streams. As the terrain becomes less mountainous, larger creeks meander</w:t>
      </w:r>
      <w:r w:rsidR="00503F9E">
        <w:t xml:space="preserve"> </w:t>
      </w:r>
      <w:r w:rsidRPr="00D61CFD">
        <w:t>through mainly agricultural areas and bushland. The Port Phillip and Western Port</w:t>
      </w:r>
      <w:r w:rsidR="00503F9E">
        <w:t xml:space="preserve"> </w:t>
      </w:r>
      <w:r w:rsidRPr="00D61CFD">
        <w:t>Regional Catchment Strategy identifies the waterways as ranging from poor to</w:t>
      </w:r>
      <w:r w:rsidR="00503F9E">
        <w:t xml:space="preserve"> </w:t>
      </w:r>
      <w:r w:rsidRPr="00D61CFD">
        <w:t>excellent environmental significance and notably, Watsons Creek is identified as</w:t>
      </w:r>
      <w:r w:rsidR="00503F9E">
        <w:t xml:space="preserve"> </w:t>
      </w:r>
      <w:r w:rsidRPr="00D61CFD">
        <w:t>being of excellent environmental significance for its entire length.</w:t>
      </w:r>
    </w:p>
    <w:p w:rsidR="00D61CFD" w:rsidRPr="00D61CFD" w:rsidRDefault="00D61CFD" w:rsidP="00D61CFD">
      <w:r w:rsidRPr="00D61CFD">
        <w:t>The Nillumbik Green Wedge also contains significant natural wetlands. For example,</w:t>
      </w:r>
      <w:r w:rsidR="00503F9E">
        <w:t xml:space="preserve"> </w:t>
      </w:r>
      <w:r w:rsidRPr="00D61CFD">
        <w:t>a series of wetlands paralleling the Yarra River in the south-east are listed in the</w:t>
      </w:r>
      <w:r w:rsidR="00503F9E">
        <w:t xml:space="preserve"> </w:t>
      </w:r>
      <w:r w:rsidRPr="00D61CFD">
        <w:t>Directory of Nationally Important Wetlands. These wetlands are cited as being of</w:t>
      </w:r>
      <w:r w:rsidR="00503F9E">
        <w:t xml:space="preserve"> </w:t>
      </w:r>
      <w:r w:rsidRPr="00D61CFD">
        <w:t>environmental significance, and also of historic significance. A small wetland known</w:t>
      </w:r>
      <w:r w:rsidR="00503F9E">
        <w:t xml:space="preserve"> </w:t>
      </w:r>
      <w:r w:rsidRPr="00D61CFD">
        <w:t>as Running Creek Reservoir to the north of Arthurs Creek is also listed as a</w:t>
      </w:r>
      <w:r w:rsidR="00503F9E">
        <w:t xml:space="preserve"> </w:t>
      </w:r>
      <w:proofErr w:type="spellStart"/>
      <w:r w:rsidRPr="00D61CFD">
        <w:t>bioregionally</w:t>
      </w:r>
      <w:proofErr w:type="spellEnd"/>
      <w:r w:rsidRPr="00D61CFD">
        <w:t xml:space="preserve"> significant wetland (</w:t>
      </w:r>
      <w:proofErr w:type="spellStart"/>
      <w:r w:rsidRPr="00D61CFD">
        <w:t>Beardsell</w:t>
      </w:r>
      <w:proofErr w:type="spellEnd"/>
      <w:r w:rsidRPr="00D61CFD">
        <w:t xml:space="preserve"> 1997).</w:t>
      </w:r>
    </w:p>
    <w:p w:rsidR="00D61CFD" w:rsidRDefault="00D61CFD" w:rsidP="00D61CFD">
      <w:r w:rsidRPr="00D61CFD">
        <w:lastRenderedPageBreak/>
        <w:t>Apart from natural waterways, the Nillumbik Green Wedge accommodates key parts</w:t>
      </w:r>
      <w:r w:rsidR="00503F9E">
        <w:t xml:space="preserve"> </w:t>
      </w:r>
      <w:r w:rsidRPr="00D61CFD">
        <w:t>of Melbourne’s infrastructure for drinking water, namely the Sugarloaf Reservoir and</w:t>
      </w:r>
      <w:r w:rsidR="00503F9E">
        <w:t xml:space="preserve"> </w:t>
      </w:r>
      <w:r w:rsidRPr="00D61CFD">
        <w:t>the Maroondah Aqueduct. Sugarloaf Reservoir – and the surrounding land owned by</w:t>
      </w:r>
      <w:r w:rsidR="00503F9E">
        <w:t xml:space="preserve"> </w:t>
      </w:r>
      <w:r w:rsidRPr="00D61CFD">
        <w:t>Melbourne Water – covers an extensive area of gr</w:t>
      </w:r>
      <w:r w:rsidR="00503F9E">
        <w:t xml:space="preserve">een wedge land in the Christmas </w:t>
      </w:r>
      <w:r w:rsidRPr="00D61CFD">
        <w:t>Hill area. Even though it is an artificial wetland, Sugarloaf Reservoir has</w:t>
      </w:r>
      <w:r w:rsidR="00503F9E">
        <w:t xml:space="preserve"> </w:t>
      </w:r>
      <w:r w:rsidRPr="00D61CFD">
        <w:t>environmental significance and is a significant wetland.</w:t>
      </w:r>
    </w:p>
    <w:p w:rsidR="00503F9E" w:rsidRPr="00503F9E" w:rsidRDefault="00503F9E" w:rsidP="00503F9E">
      <w:pPr>
        <w:rPr>
          <w:b/>
        </w:rPr>
      </w:pPr>
      <w:r w:rsidRPr="00503F9E">
        <w:rPr>
          <w:b/>
        </w:rPr>
        <w:t>Climate</w:t>
      </w:r>
    </w:p>
    <w:p w:rsidR="00503F9E" w:rsidRPr="00503F9E" w:rsidRDefault="00503F9E" w:rsidP="00503F9E">
      <w:r w:rsidRPr="00503F9E">
        <w:t>Elevation and topography significantly influence the Nillumbik Green Wedge climate.</w:t>
      </w:r>
      <w:r>
        <w:t xml:space="preserve"> </w:t>
      </w:r>
      <w:r w:rsidRPr="00503F9E">
        <w:t>Temperature generally falls and rainfall increases tow</w:t>
      </w:r>
      <w:r>
        <w:t xml:space="preserve">ards the more elevated parts of </w:t>
      </w:r>
      <w:r w:rsidRPr="00503F9E">
        <w:t>the green wedge with annual rainfall ranging from about 800 mm in the south to</w:t>
      </w:r>
      <w:r>
        <w:t xml:space="preserve"> </w:t>
      </w:r>
      <w:r w:rsidRPr="00503F9E">
        <w:t>1400 mm in the Kinglake Ranges. Average maximum daily temperatures range from</w:t>
      </w:r>
      <w:r>
        <w:t xml:space="preserve"> </w:t>
      </w:r>
      <w:r w:rsidRPr="00503F9E">
        <w:t xml:space="preserve">25 </w:t>
      </w:r>
      <w:proofErr w:type="spellStart"/>
      <w:r w:rsidRPr="00503F9E">
        <w:t>oC</w:t>
      </w:r>
      <w:proofErr w:type="spellEnd"/>
      <w:r w:rsidRPr="00503F9E">
        <w:t xml:space="preserve"> in January to 10 </w:t>
      </w:r>
      <w:proofErr w:type="spellStart"/>
      <w:r w:rsidRPr="00503F9E">
        <w:t>oC</w:t>
      </w:r>
      <w:proofErr w:type="spellEnd"/>
      <w:r w:rsidRPr="00503F9E">
        <w:t xml:space="preserve"> in June.</w:t>
      </w:r>
    </w:p>
    <w:p w:rsidR="00503F9E" w:rsidRPr="00503F9E" w:rsidRDefault="00503F9E" w:rsidP="00503F9E">
      <w:pPr>
        <w:rPr>
          <w:b/>
        </w:rPr>
      </w:pPr>
      <w:r w:rsidRPr="00503F9E">
        <w:rPr>
          <w:b/>
        </w:rPr>
        <w:t>Biodiversity</w:t>
      </w:r>
    </w:p>
    <w:p w:rsidR="00503F9E" w:rsidRPr="00503F9E" w:rsidRDefault="00503F9E" w:rsidP="00503F9E">
      <w:r w:rsidRPr="00503F9E">
        <w:t>Biodiversity is defined as the variety of all life forms and is considered at three levels:</w:t>
      </w:r>
    </w:p>
    <w:p w:rsidR="00503F9E" w:rsidRPr="00503F9E" w:rsidRDefault="00503F9E" w:rsidP="00503F9E">
      <w:pPr>
        <w:pStyle w:val="ListBullet"/>
      </w:pPr>
      <w:r w:rsidRPr="00503F9E">
        <w:t>genetic diversity – the variety of genetic form contained in organisms</w:t>
      </w:r>
    </w:p>
    <w:p w:rsidR="00503F9E" w:rsidRPr="00503F9E" w:rsidRDefault="00503F9E" w:rsidP="00503F9E">
      <w:pPr>
        <w:pStyle w:val="ListBullet"/>
      </w:pPr>
      <w:r w:rsidRPr="00503F9E">
        <w:t>species diversity – the variety of species</w:t>
      </w:r>
    </w:p>
    <w:p w:rsidR="00503F9E" w:rsidRPr="00503F9E" w:rsidRDefault="00503F9E" w:rsidP="00503F9E">
      <w:pPr>
        <w:pStyle w:val="ListBullet"/>
      </w:pPr>
      <w:proofErr w:type="gramStart"/>
      <w:r w:rsidRPr="00503F9E">
        <w:t>ecosystem</w:t>
      </w:r>
      <w:proofErr w:type="gramEnd"/>
      <w:r w:rsidRPr="00503F9E">
        <w:t xml:space="preserve"> diversity – the variety of habitats and biotic communities.</w:t>
      </w:r>
    </w:p>
    <w:p w:rsidR="00503F9E" w:rsidRPr="00503F9E" w:rsidRDefault="00503F9E" w:rsidP="00503F9E">
      <w:r w:rsidRPr="00503F9E">
        <w:t>The locally native or indigenous biodiversity of a place, together with its landforms, is</w:t>
      </w:r>
      <w:r>
        <w:t xml:space="preserve"> </w:t>
      </w:r>
      <w:r w:rsidRPr="00503F9E">
        <w:t>what gives every place its unique character. Using these characteristics, Nillumbik</w:t>
      </w:r>
      <w:r>
        <w:t xml:space="preserve"> </w:t>
      </w:r>
      <w:r w:rsidRPr="00503F9E">
        <w:t>has been included in the Southern Fall Bio-Region which covers 1 202 757 ha (five</w:t>
      </w:r>
      <w:r>
        <w:t xml:space="preserve"> </w:t>
      </w:r>
      <w:r w:rsidRPr="00503F9E">
        <w:t>per cent of the state) stretching from Whittlesea to East Gippsland.</w:t>
      </w:r>
    </w:p>
    <w:p w:rsidR="00503F9E" w:rsidRPr="00503F9E" w:rsidRDefault="00503F9E" w:rsidP="00503F9E">
      <w:r w:rsidRPr="00503F9E">
        <w:t>Biodiversity values are generally categorised into two broad groupings: flora and</w:t>
      </w:r>
      <w:r>
        <w:t xml:space="preserve"> </w:t>
      </w:r>
      <w:r w:rsidRPr="00503F9E">
        <w:t>fauna.</w:t>
      </w:r>
    </w:p>
    <w:p w:rsidR="00503F9E" w:rsidRPr="00503F9E" w:rsidRDefault="00503F9E" w:rsidP="00503F9E">
      <w:pPr>
        <w:rPr>
          <w:b/>
        </w:rPr>
      </w:pPr>
      <w:r w:rsidRPr="00503F9E">
        <w:rPr>
          <w:b/>
        </w:rPr>
        <w:t>Flora</w:t>
      </w:r>
    </w:p>
    <w:p w:rsidR="00503F9E" w:rsidRPr="00503F9E" w:rsidRDefault="00503F9E" w:rsidP="00503F9E">
      <w:r w:rsidRPr="00503F9E">
        <w:t>Pre-1750 vegetation mapping shows that the Nillumbik Green Wedge was</w:t>
      </w:r>
      <w:r>
        <w:t xml:space="preserve"> </w:t>
      </w:r>
      <w:r w:rsidRPr="00503F9E">
        <w:t>completely vegetated prior to European settlement. An extensive area of the</w:t>
      </w:r>
      <w:r>
        <w:t xml:space="preserve"> </w:t>
      </w:r>
      <w:r w:rsidRPr="00503F9E">
        <w:t>Nillumbik Green Wedge still retains native vegetation cover, on both public and</w:t>
      </w:r>
      <w:r>
        <w:t xml:space="preserve"> </w:t>
      </w:r>
      <w:r w:rsidRPr="00503F9E">
        <w:t>private land. This coverage is particularly extensive in the less settled and hillier</w:t>
      </w:r>
      <w:r>
        <w:t xml:space="preserve"> </w:t>
      </w:r>
      <w:r w:rsidRPr="00503F9E">
        <w:t>eastern and north-eastern sections of the Nillumbik Green Wedge. This is also the</w:t>
      </w:r>
      <w:r>
        <w:t xml:space="preserve"> </w:t>
      </w:r>
      <w:r w:rsidRPr="00503F9E">
        <w:t>area in which there is a high level of public protection of land for conservation.</w:t>
      </w:r>
      <w:r>
        <w:t xml:space="preserve"> </w:t>
      </w:r>
      <w:r w:rsidRPr="00503F9E">
        <w:t>Particularly prevalent ecological vegetation classes in these areas include heathy dry</w:t>
      </w:r>
      <w:r>
        <w:t xml:space="preserve"> </w:t>
      </w:r>
      <w:r w:rsidRPr="00503F9E">
        <w:t>forest, damp forest, herb-rich foothill forest and grassy dry forest. None of these</w:t>
      </w:r>
      <w:r>
        <w:t xml:space="preserve"> </w:t>
      </w:r>
      <w:r w:rsidRPr="00503F9E">
        <w:t>classes are noted as being threatened but a number of threatened classes also exist</w:t>
      </w:r>
      <w:r>
        <w:t xml:space="preserve"> </w:t>
      </w:r>
      <w:r w:rsidRPr="00503F9E">
        <w:t>in this area including:</w:t>
      </w:r>
    </w:p>
    <w:p w:rsidR="00503F9E" w:rsidRPr="00503F9E" w:rsidRDefault="00503F9E" w:rsidP="00503F9E">
      <w:pPr>
        <w:pStyle w:val="ListBullet"/>
      </w:pPr>
      <w:r w:rsidRPr="00503F9E">
        <w:t>box ironbark forest (vulnerable)</w:t>
      </w:r>
    </w:p>
    <w:p w:rsidR="00503F9E" w:rsidRPr="00503F9E" w:rsidRDefault="00503F9E" w:rsidP="00503F9E">
      <w:pPr>
        <w:pStyle w:val="ListBullet"/>
      </w:pPr>
      <w:proofErr w:type="gramStart"/>
      <w:r w:rsidRPr="00503F9E">
        <w:t>gully</w:t>
      </w:r>
      <w:proofErr w:type="gramEnd"/>
      <w:r w:rsidRPr="00503F9E">
        <w:t xml:space="preserve"> woodland (vulnerable).</w:t>
      </w:r>
    </w:p>
    <w:p w:rsidR="00503F9E" w:rsidRPr="00503F9E" w:rsidRDefault="00503F9E" w:rsidP="00503F9E">
      <w:r w:rsidRPr="00503F9E">
        <w:t>It is evident that a significant section of the Nillumbik Green Wedge has been cleared</w:t>
      </w:r>
      <w:r>
        <w:t xml:space="preserve"> </w:t>
      </w:r>
      <w:r w:rsidRPr="00503F9E">
        <w:t>of native vegetation, including particularly extensive areas of land in Arthurs Creek,</w:t>
      </w:r>
      <w:r>
        <w:t xml:space="preserve"> </w:t>
      </w:r>
      <w:r w:rsidRPr="00503F9E">
        <w:t>Doreen and Kangaroo Ground. Lowland areas and land of high agricultural value</w:t>
      </w:r>
      <w:r>
        <w:t xml:space="preserve"> </w:t>
      </w:r>
      <w:r w:rsidRPr="00503F9E">
        <w:t>were historically subjected to clearing for European-style agriculture. Despite the low</w:t>
      </w:r>
      <w:r>
        <w:t xml:space="preserve"> </w:t>
      </w:r>
      <w:r w:rsidRPr="00503F9E">
        <w:t xml:space="preserve">site coverage of </w:t>
      </w:r>
      <w:r w:rsidRPr="00503F9E">
        <w:lastRenderedPageBreak/>
        <w:t>native vegetation in these areas, they contain some ecological</w:t>
      </w:r>
      <w:r>
        <w:t xml:space="preserve"> </w:t>
      </w:r>
      <w:r w:rsidRPr="00503F9E">
        <w:t>vegetation classes defined as vulnerable or endangered including:</w:t>
      </w:r>
    </w:p>
    <w:p w:rsidR="00503F9E" w:rsidRPr="00503F9E" w:rsidRDefault="00503F9E" w:rsidP="00503F9E">
      <w:pPr>
        <w:pStyle w:val="ListBullet"/>
      </w:pPr>
      <w:r w:rsidRPr="00503F9E">
        <w:t>plains grassy woodland (endangered)</w:t>
      </w:r>
    </w:p>
    <w:p w:rsidR="00503F9E" w:rsidRPr="00503F9E" w:rsidRDefault="00503F9E" w:rsidP="00503F9E">
      <w:pPr>
        <w:pStyle w:val="ListBullet"/>
      </w:pPr>
      <w:proofErr w:type="spellStart"/>
      <w:r w:rsidRPr="00503F9E">
        <w:t>creekline</w:t>
      </w:r>
      <w:proofErr w:type="spellEnd"/>
      <w:r w:rsidRPr="00503F9E">
        <w:t xml:space="preserve"> herb-rich woodland (endangered)</w:t>
      </w:r>
    </w:p>
    <w:p w:rsidR="00503F9E" w:rsidRPr="00503F9E" w:rsidRDefault="00503F9E" w:rsidP="00503F9E">
      <w:pPr>
        <w:pStyle w:val="ListBullet"/>
      </w:pPr>
      <w:r w:rsidRPr="00503F9E">
        <w:t>valley grassy forest (vulnerable)</w:t>
      </w:r>
    </w:p>
    <w:p w:rsidR="00503F9E" w:rsidRPr="00503F9E" w:rsidRDefault="00503F9E" w:rsidP="00503F9E">
      <w:pPr>
        <w:pStyle w:val="ListBullet"/>
      </w:pPr>
      <w:proofErr w:type="gramStart"/>
      <w:r w:rsidRPr="00503F9E">
        <w:t>riparian</w:t>
      </w:r>
      <w:proofErr w:type="gramEnd"/>
      <w:r w:rsidRPr="00503F9E">
        <w:t xml:space="preserve"> forest (vulnerable).</w:t>
      </w:r>
    </w:p>
    <w:p w:rsidR="00503F9E" w:rsidRDefault="00503F9E" w:rsidP="00503F9E">
      <w:r w:rsidRPr="00503F9E">
        <w:t xml:space="preserve">In terms of diversity of flora species, 773 species of </w:t>
      </w:r>
      <w:r>
        <w:t xml:space="preserve">native flora have been recorded </w:t>
      </w:r>
      <w:r w:rsidRPr="00503F9E">
        <w:t>in the Shire of Nillumbik of which 44 species are listed as rare or threatened in</w:t>
      </w:r>
      <w:r>
        <w:t xml:space="preserve"> </w:t>
      </w:r>
      <w:r w:rsidRPr="00503F9E">
        <w:t>Victoria and 14 listed as nationally threatened. Undisturbed land such as that found</w:t>
      </w:r>
      <w:r>
        <w:t xml:space="preserve"> </w:t>
      </w:r>
      <w:r w:rsidRPr="00503F9E">
        <w:t>in the Nillumbik Green Wedge is identified as particularly important for flora diversity.</w:t>
      </w:r>
      <w:r>
        <w:t xml:space="preserve"> </w:t>
      </w:r>
      <w:r w:rsidRPr="00503F9E">
        <w:t>In such areas the shire is rich in indigenous understorey species, especially</w:t>
      </w:r>
      <w:r>
        <w:t xml:space="preserve"> </w:t>
      </w:r>
      <w:r w:rsidRPr="00503F9E">
        <w:t>terrestrial orchids, such as the spider orchid.</w:t>
      </w:r>
    </w:p>
    <w:p w:rsidR="00503F9E" w:rsidRPr="00503F9E" w:rsidRDefault="00503F9E" w:rsidP="00503F9E">
      <w:r w:rsidRPr="00503F9E">
        <w:t>Areas of intact native flora within the Nillumbik Green Wedge provide a high level of</w:t>
      </w:r>
      <w:r>
        <w:t xml:space="preserve"> </w:t>
      </w:r>
      <w:r w:rsidRPr="00503F9E">
        <w:t xml:space="preserve">significant habitat and support a wide range of </w:t>
      </w:r>
      <w:r>
        <w:t xml:space="preserve">native animals. There are three </w:t>
      </w:r>
      <w:r w:rsidRPr="00503F9E">
        <w:t>measures of habitat or biological significance to the Nillumbik Green Wedge land:</w:t>
      </w:r>
    </w:p>
    <w:p w:rsidR="00503F9E" w:rsidRPr="00503F9E" w:rsidRDefault="00503F9E" w:rsidP="00503F9E">
      <w:pPr>
        <w:pStyle w:val="ListBullet"/>
      </w:pPr>
      <w:r w:rsidRPr="00503F9E">
        <w:t>the Environmental Significance Overlay (Schedule 1)</w:t>
      </w:r>
    </w:p>
    <w:p w:rsidR="00503F9E" w:rsidRPr="00503F9E" w:rsidRDefault="00503F9E" w:rsidP="00503F9E">
      <w:pPr>
        <w:pStyle w:val="ListBullet"/>
      </w:pPr>
      <w:r w:rsidRPr="00503F9E">
        <w:t>environmental reference areas and critical conservation areas</w:t>
      </w:r>
    </w:p>
    <w:p w:rsidR="00503F9E" w:rsidRPr="00503F9E" w:rsidRDefault="00503F9E" w:rsidP="00503F9E">
      <w:pPr>
        <w:pStyle w:val="ListBullet"/>
      </w:pPr>
      <w:proofErr w:type="gramStart"/>
      <w:r w:rsidRPr="00503F9E">
        <w:t>sites</w:t>
      </w:r>
      <w:proofErr w:type="gramEnd"/>
      <w:r w:rsidRPr="00503F9E">
        <w:t xml:space="preserve"> of biological significance (</w:t>
      </w:r>
      <w:proofErr w:type="spellStart"/>
      <w:r w:rsidRPr="00503F9E">
        <w:t>biosites</w:t>
      </w:r>
      <w:proofErr w:type="spellEnd"/>
      <w:r w:rsidRPr="00503F9E">
        <w:t>).</w:t>
      </w:r>
    </w:p>
    <w:p w:rsidR="00503F9E" w:rsidRPr="00503F9E" w:rsidRDefault="00503F9E" w:rsidP="00503F9E">
      <w:pPr>
        <w:rPr>
          <w:b/>
        </w:rPr>
      </w:pPr>
      <w:r w:rsidRPr="00503F9E">
        <w:rPr>
          <w:b/>
        </w:rPr>
        <w:t>Environmental Significance Overlay (Schedule 1: Sites of habitat and faunal significance)</w:t>
      </w:r>
    </w:p>
    <w:p w:rsidR="00503F9E" w:rsidRPr="00503F9E" w:rsidRDefault="00503F9E" w:rsidP="00503F9E">
      <w:r w:rsidRPr="00503F9E">
        <w:t>In 1997, an ecological report on sites of faunal and habitat significance in North-East</w:t>
      </w:r>
      <w:r>
        <w:t xml:space="preserve"> </w:t>
      </w:r>
      <w:r w:rsidRPr="00503F9E">
        <w:t>Melbourne was released – the NEROC report. The stud</w:t>
      </w:r>
      <w:r>
        <w:t xml:space="preserve">y area for this report included </w:t>
      </w:r>
      <w:r w:rsidRPr="00503F9E">
        <w:t>all of the Shire of Nillumbik’s current green wedge land. Sites of habitat and faunal</w:t>
      </w:r>
      <w:r>
        <w:t xml:space="preserve"> </w:t>
      </w:r>
      <w:r w:rsidRPr="00503F9E">
        <w:t>significance identified by the NEROC report in the Shire of Nillumbik are recognised</w:t>
      </w:r>
      <w:r>
        <w:t xml:space="preserve"> </w:t>
      </w:r>
      <w:r w:rsidRPr="00503F9E">
        <w:t>in the Nillumbik Planning Scheme by the Environmental Significance Overlay:</w:t>
      </w:r>
      <w:r>
        <w:t xml:space="preserve"> </w:t>
      </w:r>
      <w:r w:rsidRPr="00503F9E">
        <w:t>Schedule 1: sites of faunal and habitat significance.</w:t>
      </w:r>
    </w:p>
    <w:p w:rsidR="00503F9E" w:rsidRPr="00503F9E" w:rsidRDefault="00503F9E" w:rsidP="00503F9E">
      <w:r w:rsidRPr="00503F9E">
        <w:t xml:space="preserve">Extensive areas of the Nillumbik Green Wedge are of </w:t>
      </w:r>
      <w:r>
        <w:t xml:space="preserve">faunal and habitat significance </w:t>
      </w:r>
      <w:r w:rsidRPr="00503F9E">
        <w:t>and 61 per cent is affected by the overlay. Application of the overlay to Nillumbik</w:t>
      </w:r>
      <w:r>
        <w:t xml:space="preserve"> </w:t>
      </w:r>
      <w:r w:rsidRPr="00503F9E">
        <w:t>Green Wedge land is particularly extensive in the north and east of the shire’s green</w:t>
      </w:r>
      <w:r>
        <w:t xml:space="preserve"> </w:t>
      </w:r>
      <w:r w:rsidRPr="00503F9E">
        <w:t>wedge.</w:t>
      </w:r>
    </w:p>
    <w:p w:rsidR="00503F9E" w:rsidRPr="00503F9E" w:rsidRDefault="00503F9E" w:rsidP="00503F9E">
      <w:r w:rsidRPr="00503F9E">
        <w:t>Of all the land identified as being of high environmental significance within the</w:t>
      </w:r>
      <w:r>
        <w:t xml:space="preserve"> </w:t>
      </w:r>
      <w:r w:rsidRPr="00503F9E">
        <w:t>Nillumbik Green Wedge, the NEROC report found a number of sites to be of</w:t>
      </w:r>
      <w:r>
        <w:t xml:space="preserve"> </w:t>
      </w:r>
      <w:r w:rsidRPr="00503F9E">
        <w:t>particular significance, including:</w:t>
      </w:r>
    </w:p>
    <w:p w:rsidR="00503F9E" w:rsidRPr="00503F9E" w:rsidRDefault="00503F9E" w:rsidP="00503F9E">
      <w:pPr>
        <w:pStyle w:val="ListBullet"/>
      </w:pPr>
      <w:r w:rsidRPr="00503F9E">
        <w:t>major public reserves including Kinglake National Park and Plen</w:t>
      </w:r>
      <w:r>
        <w:t xml:space="preserve">ty Gorge </w:t>
      </w:r>
      <w:r w:rsidRPr="00503F9E">
        <w:t>Metropolitan Park</w:t>
      </w:r>
    </w:p>
    <w:p w:rsidR="00503F9E" w:rsidRPr="00503F9E" w:rsidRDefault="00503F9E" w:rsidP="00503F9E">
      <w:pPr>
        <w:pStyle w:val="ListBullet"/>
      </w:pPr>
      <w:r w:rsidRPr="00503F9E">
        <w:t>all ecological reference areas and critica</w:t>
      </w:r>
      <w:r>
        <w:t xml:space="preserve">l conservation areas (discussed </w:t>
      </w:r>
      <w:r w:rsidRPr="00503F9E">
        <w:t>below)</w:t>
      </w:r>
    </w:p>
    <w:p w:rsidR="00503F9E" w:rsidRPr="00503F9E" w:rsidRDefault="00503F9E" w:rsidP="00503F9E">
      <w:pPr>
        <w:pStyle w:val="ListBullet"/>
      </w:pPr>
      <w:r w:rsidRPr="00503F9E">
        <w:t>major watercourses including Yarra Rive</w:t>
      </w:r>
      <w:r>
        <w:t xml:space="preserve">r, Plenty River, Diamond Creek, </w:t>
      </w:r>
      <w:r w:rsidRPr="00503F9E">
        <w:t>Arthurs Creek and Watsons Creek</w:t>
      </w:r>
    </w:p>
    <w:p w:rsidR="00503F9E" w:rsidRPr="00503F9E" w:rsidRDefault="00503F9E" w:rsidP="00503F9E">
      <w:pPr>
        <w:pStyle w:val="ListBullet"/>
      </w:pPr>
      <w:r w:rsidRPr="00503F9E">
        <w:lastRenderedPageBreak/>
        <w:t>habitat links along the major watercourses</w:t>
      </w:r>
    </w:p>
    <w:p w:rsidR="00503F9E" w:rsidRPr="00503F9E" w:rsidRDefault="00503F9E" w:rsidP="00503F9E">
      <w:pPr>
        <w:pStyle w:val="ListBullet"/>
      </w:pPr>
      <w:r w:rsidRPr="00503F9E">
        <w:t>a strategic habitat link connecting Kinglake Na</w:t>
      </w:r>
      <w:r>
        <w:t xml:space="preserve">tional Park to Warrandyte State </w:t>
      </w:r>
      <w:r w:rsidRPr="00503F9E">
        <w:t>Park</w:t>
      </w:r>
    </w:p>
    <w:p w:rsidR="00503F9E" w:rsidRPr="00503F9E" w:rsidRDefault="00503F9E" w:rsidP="00503F9E">
      <w:pPr>
        <w:pStyle w:val="ListBullet"/>
      </w:pPr>
      <w:r w:rsidRPr="00503F9E">
        <w:t xml:space="preserve">east–west habitat links connecting the </w:t>
      </w:r>
      <w:r>
        <w:t xml:space="preserve">Plenty River, Diamond Creek and </w:t>
      </w:r>
      <w:r w:rsidRPr="00503F9E">
        <w:t>Yarra River</w:t>
      </w:r>
    </w:p>
    <w:p w:rsidR="00503F9E" w:rsidRPr="00503F9E" w:rsidRDefault="00503F9E" w:rsidP="00503F9E">
      <w:pPr>
        <w:pStyle w:val="ListBullet"/>
      </w:pPr>
      <w:proofErr w:type="gramStart"/>
      <w:r w:rsidRPr="00503F9E">
        <w:t>roadside</w:t>
      </w:r>
      <w:proofErr w:type="gramEnd"/>
      <w:r w:rsidRPr="00503F9E">
        <w:t xml:space="preserve"> reserves containing significant native vegetation.</w:t>
      </w:r>
    </w:p>
    <w:p w:rsidR="00503F9E" w:rsidRPr="00503F9E" w:rsidRDefault="00503F9E" w:rsidP="00503F9E">
      <w:pPr>
        <w:rPr>
          <w:b/>
        </w:rPr>
      </w:pPr>
      <w:r w:rsidRPr="00503F9E">
        <w:rPr>
          <w:b/>
        </w:rPr>
        <w:t>Ecological reference areas and critical conservation areas</w:t>
      </w:r>
    </w:p>
    <w:p w:rsidR="00503F9E" w:rsidRPr="00503F9E" w:rsidRDefault="00503F9E" w:rsidP="00503F9E">
      <w:r w:rsidRPr="00503F9E">
        <w:t>Ecological reference areas are tracts of viable, relatively undisturbed public land</w:t>
      </w:r>
      <w:r>
        <w:t xml:space="preserve"> </w:t>
      </w:r>
      <w:r w:rsidRPr="00503F9E">
        <w:t>representative of land types that elsewhere h</w:t>
      </w:r>
      <w:r>
        <w:t xml:space="preserve">ave been subjected to extensive </w:t>
      </w:r>
      <w:r w:rsidRPr="00503F9E">
        <w:t>modification. Critical conservation areas are areas that contain the critical or most</w:t>
      </w:r>
      <w:r>
        <w:t xml:space="preserve"> </w:t>
      </w:r>
      <w:r w:rsidRPr="00503F9E">
        <w:t>viable population for long term survival of a threatened species, habitat or</w:t>
      </w:r>
      <w:r>
        <w:t xml:space="preserve"> </w:t>
      </w:r>
      <w:r w:rsidRPr="00503F9E">
        <w:t>assemblage, and the most intact or viable stands of a regionally threatened habitat</w:t>
      </w:r>
      <w:r>
        <w:t xml:space="preserve"> </w:t>
      </w:r>
      <w:r w:rsidRPr="00503F9E">
        <w:t>not fully represented in an ecological reference area.</w:t>
      </w:r>
    </w:p>
    <w:p w:rsidR="00503F9E" w:rsidRPr="00503F9E" w:rsidRDefault="00503F9E" w:rsidP="00503F9E">
      <w:r w:rsidRPr="00503F9E">
        <w:t>The NEROC report identifies seven ecological ref</w:t>
      </w:r>
      <w:r>
        <w:t xml:space="preserve">erence areas and eight critical </w:t>
      </w:r>
      <w:r w:rsidRPr="00503F9E">
        <w:t>conservation areas in the Nillumbik Green Wedge. Th</w:t>
      </w:r>
      <w:r>
        <w:t xml:space="preserve">e ecological reference areas in </w:t>
      </w:r>
      <w:r w:rsidRPr="00503F9E">
        <w:t>the Nillumbik Green Wedge are:</w:t>
      </w:r>
    </w:p>
    <w:p w:rsidR="00503F9E" w:rsidRPr="00503F9E" w:rsidRDefault="00503F9E" w:rsidP="00503F9E">
      <w:pPr>
        <w:pStyle w:val="ListBullet"/>
      </w:pPr>
      <w:r w:rsidRPr="00503F9E">
        <w:t>the Diamond Creek headwaters (Site 103)</w:t>
      </w:r>
    </w:p>
    <w:p w:rsidR="00503F9E" w:rsidRDefault="00503F9E" w:rsidP="00503F9E">
      <w:pPr>
        <w:pStyle w:val="ListBullet"/>
      </w:pPr>
      <w:r w:rsidRPr="00503F9E">
        <w:t>the Steels Creek–Watsons Creek headwaters (Site 104)</w:t>
      </w:r>
    </w:p>
    <w:p w:rsidR="00503F9E" w:rsidRPr="00503F9E" w:rsidRDefault="00503F9E" w:rsidP="00503F9E">
      <w:pPr>
        <w:pStyle w:val="ListBullet"/>
      </w:pPr>
      <w:r w:rsidRPr="00503F9E">
        <w:t>land abutting the Yarra River in the vicinit</w:t>
      </w:r>
      <w:r>
        <w:t xml:space="preserve">y of Jumping Creek, </w:t>
      </w:r>
      <w:proofErr w:type="spellStart"/>
      <w:r>
        <w:t>Stane</w:t>
      </w:r>
      <w:proofErr w:type="spellEnd"/>
      <w:r>
        <w:t xml:space="preserve"> Brae, </w:t>
      </w:r>
      <w:r w:rsidRPr="00503F9E">
        <w:t>Yarra Brae and Bend of Islands (Site 59)</w:t>
      </w:r>
    </w:p>
    <w:p w:rsidR="00503F9E" w:rsidRPr="00503F9E" w:rsidRDefault="00503F9E" w:rsidP="00503F9E">
      <w:pPr>
        <w:pStyle w:val="ListBullet"/>
      </w:pPr>
      <w:r w:rsidRPr="00503F9E">
        <w:t>One Tree Hill–Watsons Creek Link (Site 80)</w:t>
      </w:r>
    </w:p>
    <w:p w:rsidR="00503F9E" w:rsidRPr="00503F9E" w:rsidRDefault="00503F9E" w:rsidP="00503F9E">
      <w:pPr>
        <w:pStyle w:val="ListBullet"/>
      </w:pPr>
      <w:r w:rsidRPr="00503F9E">
        <w:t>Yarrambat–Morang Wetlands (Site 40)</w:t>
      </w:r>
    </w:p>
    <w:p w:rsidR="00503F9E" w:rsidRPr="00503F9E" w:rsidRDefault="00503F9E" w:rsidP="00503F9E">
      <w:pPr>
        <w:pStyle w:val="ListBullet"/>
      </w:pPr>
      <w:r w:rsidRPr="00503F9E">
        <w:t>Land abutting the Yarra River in proximity of Reynolds Road (Site 57)</w:t>
      </w:r>
    </w:p>
    <w:p w:rsidR="00503F9E" w:rsidRPr="00503F9E" w:rsidRDefault="00503F9E" w:rsidP="00503F9E">
      <w:pPr>
        <w:pStyle w:val="ListBullet"/>
      </w:pPr>
      <w:r w:rsidRPr="00503F9E">
        <w:t xml:space="preserve">Hurstbridge to Kangaroo Ground red </w:t>
      </w:r>
      <w:proofErr w:type="spellStart"/>
      <w:r w:rsidRPr="00503F9E">
        <w:t>ironbarks</w:t>
      </w:r>
      <w:proofErr w:type="spellEnd"/>
      <w:r w:rsidRPr="00503F9E">
        <w:t xml:space="preserve"> (Site 72).</w:t>
      </w:r>
    </w:p>
    <w:p w:rsidR="00503F9E" w:rsidRPr="00503F9E" w:rsidRDefault="00503F9E" w:rsidP="00503F9E">
      <w:r w:rsidRPr="00503F9E">
        <w:t xml:space="preserve">It is worth noting that within the study area for </w:t>
      </w:r>
      <w:r>
        <w:t xml:space="preserve">the NEROC report only two other </w:t>
      </w:r>
      <w:r w:rsidRPr="00503F9E">
        <w:t>ecological reference areas exist outside of the Nillumbik Green Wedge.</w:t>
      </w:r>
    </w:p>
    <w:p w:rsidR="00503F9E" w:rsidRPr="00503F9E" w:rsidRDefault="00503F9E" w:rsidP="00503F9E">
      <w:r w:rsidRPr="00503F9E">
        <w:t>The critical conservation areas within the Nillumbik Green Wedge are:</w:t>
      </w:r>
    </w:p>
    <w:p w:rsidR="00503F9E" w:rsidRPr="00503F9E" w:rsidRDefault="00503F9E" w:rsidP="00503F9E">
      <w:pPr>
        <w:pStyle w:val="ListBullet"/>
      </w:pPr>
      <w:r w:rsidRPr="00503F9E">
        <w:t>Watsons Creek to Christmas Hills (Site 64)</w:t>
      </w:r>
    </w:p>
    <w:p w:rsidR="00503F9E" w:rsidRPr="00503F9E" w:rsidRDefault="00503F9E" w:rsidP="00503F9E">
      <w:pPr>
        <w:pStyle w:val="ListBullet"/>
      </w:pPr>
      <w:r w:rsidRPr="00503F9E">
        <w:t xml:space="preserve">Kangaroo Ground–St Andrews Road red </w:t>
      </w:r>
      <w:proofErr w:type="spellStart"/>
      <w:r w:rsidRPr="00503F9E">
        <w:t>ironbarks</w:t>
      </w:r>
      <w:proofErr w:type="spellEnd"/>
      <w:r w:rsidRPr="00503F9E">
        <w:t xml:space="preserve"> (Site 77)</w:t>
      </w:r>
    </w:p>
    <w:p w:rsidR="00503F9E" w:rsidRPr="00503F9E" w:rsidRDefault="00503F9E" w:rsidP="00503F9E">
      <w:pPr>
        <w:pStyle w:val="ListBullet"/>
      </w:pPr>
      <w:r w:rsidRPr="00503F9E">
        <w:t>Yering Gorge–Yering Flats (Site 62)</w:t>
      </w:r>
    </w:p>
    <w:p w:rsidR="00503F9E" w:rsidRPr="00503F9E" w:rsidRDefault="00503F9E" w:rsidP="00503F9E">
      <w:pPr>
        <w:pStyle w:val="ListBullet"/>
      </w:pPr>
      <w:proofErr w:type="spellStart"/>
      <w:r w:rsidRPr="00503F9E">
        <w:t>Dunmoochin</w:t>
      </w:r>
      <w:proofErr w:type="spellEnd"/>
      <w:r w:rsidRPr="00503F9E">
        <w:t xml:space="preserve"> (Site 68)</w:t>
      </w:r>
    </w:p>
    <w:p w:rsidR="00503F9E" w:rsidRPr="00503F9E" w:rsidRDefault="00503F9E" w:rsidP="00503F9E">
      <w:pPr>
        <w:pStyle w:val="ListBullet"/>
      </w:pPr>
      <w:r w:rsidRPr="00503F9E">
        <w:t>Diamond Creek and surrounds near Allendale Road (Sites 46 and 53)</w:t>
      </w:r>
    </w:p>
    <w:p w:rsidR="00503F9E" w:rsidRPr="00503F9E" w:rsidRDefault="00503F9E" w:rsidP="00503F9E">
      <w:pPr>
        <w:pStyle w:val="ListBullet"/>
      </w:pPr>
      <w:r w:rsidRPr="00503F9E">
        <w:t xml:space="preserve">Plenty River in the vicinity of Plenty and </w:t>
      </w:r>
      <w:proofErr w:type="spellStart"/>
      <w:r w:rsidRPr="00503F9E">
        <w:t>Janefield</w:t>
      </w:r>
      <w:proofErr w:type="spellEnd"/>
      <w:r w:rsidRPr="00503F9E">
        <w:t xml:space="preserve"> (Site 42)</w:t>
      </w:r>
    </w:p>
    <w:p w:rsidR="00503F9E" w:rsidRPr="00503F9E" w:rsidRDefault="00503F9E" w:rsidP="00503F9E">
      <w:pPr>
        <w:pStyle w:val="ListBullet"/>
      </w:pPr>
      <w:r w:rsidRPr="00503F9E">
        <w:t xml:space="preserve">Plenty River in the vicinity of </w:t>
      </w:r>
      <w:proofErr w:type="spellStart"/>
      <w:r w:rsidRPr="00503F9E">
        <w:t>Kurrak</w:t>
      </w:r>
      <w:proofErr w:type="spellEnd"/>
      <w:r w:rsidRPr="00503F9E">
        <w:t xml:space="preserve"> Road (Site 41)</w:t>
      </w:r>
    </w:p>
    <w:p w:rsidR="00503F9E" w:rsidRPr="00503F9E" w:rsidRDefault="00503F9E" w:rsidP="00503F9E">
      <w:pPr>
        <w:pStyle w:val="ListBullet"/>
      </w:pPr>
      <w:r w:rsidRPr="00503F9E">
        <w:t>Eltham Copper Butterfly Reserves at Eltham South (Site 49).</w:t>
      </w:r>
    </w:p>
    <w:p w:rsidR="00503F9E" w:rsidRPr="00503F9E" w:rsidRDefault="00503F9E" w:rsidP="00503F9E">
      <w:pPr>
        <w:rPr>
          <w:b/>
        </w:rPr>
      </w:pPr>
      <w:r w:rsidRPr="00503F9E">
        <w:rPr>
          <w:b/>
        </w:rPr>
        <w:t>Sites of biological significance (</w:t>
      </w:r>
      <w:proofErr w:type="spellStart"/>
      <w:r w:rsidRPr="00503F9E">
        <w:rPr>
          <w:b/>
        </w:rPr>
        <w:t>biosites</w:t>
      </w:r>
      <w:proofErr w:type="spellEnd"/>
      <w:r w:rsidRPr="00503F9E">
        <w:rPr>
          <w:b/>
        </w:rPr>
        <w:t>)</w:t>
      </w:r>
    </w:p>
    <w:p w:rsidR="00503F9E" w:rsidRDefault="00503F9E" w:rsidP="00503F9E">
      <w:r w:rsidRPr="00503F9E">
        <w:lastRenderedPageBreak/>
        <w:t>Another indicator of environmental attributes in the Nillumbik Green Wedge is the</w:t>
      </w:r>
      <w:r>
        <w:t xml:space="preserve"> </w:t>
      </w:r>
      <w:r w:rsidRPr="00503F9E">
        <w:t>occurrence of significant biological sites (</w:t>
      </w:r>
      <w:proofErr w:type="spellStart"/>
      <w:r w:rsidRPr="00503F9E">
        <w:t>biosit</w:t>
      </w:r>
      <w:r>
        <w:t>es</w:t>
      </w:r>
      <w:proofErr w:type="spellEnd"/>
      <w:r>
        <w:t xml:space="preserve">). These sites, mapped by the </w:t>
      </w:r>
      <w:r w:rsidRPr="00503F9E">
        <w:t>Department of Sustainability and Environment, define</w:t>
      </w:r>
      <w:r>
        <w:t xml:space="preserve"> a physical area containing one </w:t>
      </w:r>
      <w:r w:rsidRPr="00503F9E">
        <w:t>or more biological assets. They are deemed to be of biological significance when a</w:t>
      </w:r>
      <w:r>
        <w:t xml:space="preserve"> </w:t>
      </w:r>
      <w:r w:rsidRPr="00503F9E">
        <w:t>site contains assets that make a substantial contribution to the occurrence or</w:t>
      </w:r>
      <w:r>
        <w:t xml:space="preserve"> </w:t>
      </w:r>
      <w:r w:rsidRPr="00503F9E">
        <w:t xml:space="preserve">conservation of that asset within the broader area. </w:t>
      </w:r>
      <w:proofErr w:type="spellStart"/>
      <w:r w:rsidRPr="00503F9E">
        <w:t>Biosites</w:t>
      </w:r>
      <w:proofErr w:type="spellEnd"/>
      <w:r w:rsidRPr="00503F9E">
        <w:t xml:space="preserve"> are rated into one of five</w:t>
      </w:r>
      <w:r>
        <w:t xml:space="preserve"> </w:t>
      </w:r>
      <w:r w:rsidRPr="00503F9E">
        <w:t>broad groupings of significance: international, national, state, regional and local.</w:t>
      </w:r>
    </w:p>
    <w:p w:rsidR="00503F9E" w:rsidRPr="00503F9E" w:rsidRDefault="00503F9E" w:rsidP="00503F9E">
      <w:r w:rsidRPr="00503F9E">
        <w:t xml:space="preserve">There are 84 </w:t>
      </w:r>
      <w:proofErr w:type="spellStart"/>
      <w:r w:rsidRPr="00503F9E">
        <w:t>biosites</w:t>
      </w:r>
      <w:proofErr w:type="spellEnd"/>
      <w:r w:rsidRPr="00503F9E">
        <w:t xml:space="preserve"> listed within the Shire of Nillu</w:t>
      </w:r>
      <w:r>
        <w:t xml:space="preserve">mbik and 72 of these are within </w:t>
      </w:r>
      <w:r w:rsidRPr="00503F9E">
        <w:t xml:space="preserve">the Nillumbik Green Wedge. Of these green wedge </w:t>
      </w:r>
      <w:proofErr w:type="spellStart"/>
      <w:r w:rsidRPr="00503F9E">
        <w:t>biosites</w:t>
      </w:r>
      <w:proofErr w:type="spellEnd"/>
      <w:r w:rsidRPr="00503F9E">
        <w:t>, ten are of national</w:t>
      </w:r>
      <w:r>
        <w:t xml:space="preserve"> </w:t>
      </w:r>
      <w:r w:rsidRPr="00503F9E">
        <w:t>significance, 32 are of state significance, 29 are of regional significance and one is of</w:t>
      </w:r>
      <w:r>
        <w:t xml:space="preserve"> </w:t>
      </w:r>
      <w:r w:rsidRPr="00503F9E">
        <w:t>local significance.</w:t>
      </w:r>
    </w:p>
    <w:p w:rsidR="00503F9E" w:rsidRPr="00503F9E" w:rsidRDefault="00503F9E" w:rsidP="00503F9E">
      <w:r w:rsidRPr="00503F9E">
        <w:t xml:space="preserve">There is considerable overlap between the </w:t>
      </w:r>
      <w:proofErr w:type="spellStart"/>
      <w:r w:rsidRPr="00503F9E">
        <w:t>biosites</w:t>
      </w:r>
      <w:proofErr w:type="spellEnd"/>
      <w:r w:rsidRPr="00503F9E">
        <w:t xml:space="preserve"> identified by DSE as being of</w:t>
      </w:r>
      <w:r>
        <w:t xml:space="preserve"> </w:t>
      </w:r>
      <w:r w:rsidRPr="00503F9E">
        <w:t>national and state significance and the critical conservation areas and ecological</w:t>
      </w:r>
      <w:r>
        <w:t xml:space="preserve"> </w:t>
      </w:r>
      <w:r w:rsidRPr="00503F9E">
        <w:t>reference areas identified by the NEROC report. However, a number of the notable</w:t>
      </w:r>
      <w:r>
        <w:t xml:space="preserve"> </w:t>
      </w:r>
      <w:r w:rsidRPr="00503F9E">
        <w:t xml:space="preserve">DSE </w:t>
      </w:r>
      <w:proofErr w:type="spellStart"/>
      <w:r w:rsidRPr="00503F9E">
        <w:t>biosites</w:t>
      </w:r>
      <w:proofErr w:type="spellEnd"/>
      <w:r w:rsidRPr="00503F9E">
        <w:t xml:space="preserve"> are not predominantly within the NEROC identified areas. These are:</w:t>
      </w:r>
    </w:p>
    <w:p w:rsidR="00503F9E" w:rsidRPr="00503F9E" w:rsidRDefault="00503F9E" w:rsidP="00503F9E">
      <w:pPr>
        <w:pStyle w:val="ListBullet"/>
      </w:pPr>
      <w:r w:rsidRPr="00503F9E">
        <w:t>Red Shirt Gully, Cottles Bridge (</w:t>
      </w:r>
      <w:proofErr w:type="spellStart"/>
      <w:r w:rsidRPr="00503F9E">
        <w:t>Biosite</w:t>
      </w:r>
      <w:proofErr w:type="spellEnd"/>
      <w:r w:rsidRPr="00503F9E">
        <w:t xml:space="preserve"> 5262: national significance)</w:t>
      </w:r>
    </w:p>
    <w:p w:rsidR="00503F9E" w:rsidRPr="00503F9E" w:rsidRDefault="00503F9E" w:rsidP="00503F9E">
      <w:pPr>
        <w:pStyle w:val="ListBullet"/>
      </w:pPr>
      <w:r w:rsidRPr="00503F9E">
        <w:t>St Andrews Caledonia Reserve (</w:t>
      </w:r>
      <w:proofErr w:type="spellStart"/>
      <w:r w:rsidRPr="00503F9E">
        <w:t>Biosite</w:t>
      </w:r>
      <w:proofErr w:type="spellEnd"/>
      <w:r w:rsidRPr="00503F9E">
        <w:t xml:space="preserve"> 5275: national significance)</w:t>
      </w:r>
    </w:p>
    <w:p w:rsidR="00503F9E" w:rsidRPr="00503F9E" w:rsidRDefault="00503F9E" w:rsidP="00503F9E">
      <w:pPr>
        <w:pStyle w:val="ListBullet"/>
      </w:pPr>
      <w:r w:rsidRPr="00503F9E">
        <w:t>Round the Bend Co-operative (</w:t>
      </w:r>
      <w:proofErr w:type="spellStart"/>
      <w:r w:rsidRPr="00503F9E">
        <w:t>Biosite</w:t>
      </w:r>
      <w:proofErr w:type="spellEnd"/>
      <w:r w:rsidRPr="00503F9E">
        <w:t xml:space="preserve"> 4706: state significance)</w:t>
      </w:r>
    </w:p>
    <w:p w:rsidR="00503F9E" w:rsidRPr="00503F9E" w:rsidRDefault="00503F9E" w:rsidP="00503F9E">
      <w:pPr>
        <w:pStyle w:val="ListBullet"/>
      </w:pPr>
      <w:r w:rsidRPr="00503F9E">
        <w:t>Christmas Hills (</w:t>
      </w:r>
      <w:proofErr w:type="spellStart"/>
      <w:r w:rsidRPr="00503F9E">
        <w:t>Biosite</w:t>
      </w:r>
      <w:proofErr w:type="spellEnd"/>
      <w:r w:rsidRPr="00503F9E">
        <w:t xml:space="preserve"> 1625: state significance).</w:t>
      </w:r>
    </w:p>
    <w:p w:rsidR="00503F9E" w:rsidRPr="00503F9E" w:rsidRDefault="00503F9E" w:rsidP="00503F9E">
      <w:pPr>
        <w:rPr>
          <w:b/>
        </w:rPr>
      </w:pPr>
      <w:r w:rsidRPr="00503F9E">
        <w:rPr>
          <w:b/>
        </w:rPr>
        <w:t>Fauna</w:t>
      </w:r>
    </w:p>
    <w:p w:rsidR="00503F9E" w:rsidRDefault="00503F9E" w:rsidP="00503F9E">
      <w:r w:rsidRPr="00503F9E">
        <w:t>Surveys for the NEROC report identified 322 native terrestrial vertebrate species and</w:t>
      </w:r>
      <w:r>
        <w:t xml:space="preserve"> </w:t>
      </w:r>
      <w:r w:rsidRPr="00503F9E">
        <w:t>14 species of native freshwater fish, most of which occurred within the Shire of</w:t>
      </w:r>
      <w:r>
        <w:t xml:space="preserve"> </w:t>
      </w:r>
      <w:r w:rsidRPr="00503F9E">
        <w:t>Nillumbik. The vast majority of this fauna is present on Nillumbik Green Wedge land.</w:t>
      </w:r>
      <w:r>
        <w:t xml:space="preserve"> </w:t>
      </w:r>
      <w:r w:rsidRPr="00503F9E">
        <w:t>Only the more vegetated and remote parts of the shire support a range of ground</w:t>
      </w:r>
      <w:r>
        <w:t xml:space="preserve"> </w:t>
      </w:r>
      <w:r w:rsidRPr="00503F9E">
        <w:t>dwelling mammals such as brush-tailed phascogale and the common dunnart.</w:t>
      </w:r>
    </w:p>
    <w:p w:rsidR="00503F9E" w:rsidRPr="00503F9E" w:rsidRDefault="00503F9E" w:rsidP="00503F9E">
      <w:r w:rsidRPr="00503F9E">
        <w:t>Furthermore, three sites – identified by the NEROC rep</w:t>
      </w:r>
      <w:r>
        <w:t xml:space="preserve">ort as being of national faunal </w:t>
      </w:r>
      <w:r w:rsidRPr="00503F9E">
        <w:t>significance – are all located within the Nillumbik Green Wedge:</w:t>
      </w:r>
    </w:p>
    <w:p w:rsidR="00503F9E" w:rsidRPr="00503F9E" w:rsidRDefault="00503F9E" w:rsidP="00503F9E">
      <w:pPr>
        <w:pStyle w:val="ListBullet"/>
      </w:pPr>
      <w:r w:rsidRPr="00503F9E">
        <w:t>the Yarrambat Morang Wetland (Site 40)</w:t>
      </w:r>
    </w:p>
    <w:p w:rsidR="00503F9E" w:rsidRPr="00503F9E" w:rsidRDefault="00503F9E" w:rsidP="00503F9E">
      <w:pPr>
        <w:pStyle w:val="ListBullet"/>
      </w:pPr>
      <w:r w:rsidRPr="00503F9E">
        <w:t>Plenty–</w:t>
      </w:r>
      <w:proofErr w:type="spellStart"/>
      <w:r w:rsidRPr="00503F9E">
        <w:t>Janefield</w:t>
      </w:r>
      <w:proofErr w:type="spellEnd"/>
      <w:r w:rsidRPr="00503F9E">
        <w:t xml:space="preserve"> (Site 42)</w:t>
      </w:r>
    </w:p>
    <w:p w:rsidR="00503F9E" w:rsidRPr="00503F9E" w:rsidRDefault="00503F9E" w:rsidP="00503F9E">
      <w:pPr>
        <w:pStyle w:val="ListBullet"/>
      </w:pPr>
      <w:r w:rsidRPr="00503F9E">
        <w:t>Diamond Creek headwaters (Site 103).</w:t>
      </w:r>
    </w:p>
    <w:p w:rsidR="00503F9E" w:rsidRPr="00503F9E" w:rsidRDefault="00503F9E" w:rsidP="00503F9E">
      <w:r w:rsidRPr="00503F9E">
        <w:t>A number of fauna species in the Nillumbik Green We</w:t>
      </w:r>
      <w:r>
        <w:t xml:space="preserve">dge are particularly threatened </w:t>
      </w:r>
      <w:r w:rsidRPr="00503F9E">
        <w:t>and are listed under the Flora and Fauna Guarantee Act 1988. These species</w:t>
      </w:r>
      <w:r>
        <w:t xml:space="preserve"> </w:t>
      </w:r>
      <w:r w:rsidRPr="00503F9E">
        <w:t>include the:</w:t>
      </w:r>
    </w:p>
    <w:p w:rsidR="00503F9E" w:rsidRPr="00503F9E" w:rsidRDefault="00503F9E" w:rsidP="00503F9E">
      <w:pPr>
        <w:pStyle w:val="ListBullet"/>
      </w:pPr>
      <w:r w:rsidRPr="00503F9E">
        <w:t>powerful owl</w:t>
      </w:r>
    </w:p>
    <w:p w:rsidR="00503F9E" w:rsidRPr="00503F9E" w:rsidRDefault="00503F9E" w:rsidP="00503F9E">
      <w:pPr>
        <w:pStyle w:val="ListBullet"/>
      </w:pPr>
      <w:r w:rsidRPr="00503F9E">
        <w:t>masked owl</w:t>
      </w:r>
    </w:p>
    <w:p w:rsidR="00503F9E" w:rsidRPr="00503F9E" w:rsidRDefault="00503F9E" w:rsidP="00503F9E">
      <w:pPr>
        <w:pStyle w:val="ListBullet"/>
      </w:pPr>
      <w:r w:rsidRPr="00503F9E">
        <w:t>swift parrot</w:t>
      </w:r>
    </w:p>
    <w:p w:rsidR="00503F9E" w:rsidRPr="00503F9E" w:rsidRDefault="00503F9E" w:rsidP="00503F9E">
      <w:pPr>
        <w:pStyle w:val="ListBullet"/>
      </w:pPr>
      <w:r w:rsidRPr="00503F9E">
        <w:t>painted honeyeater</w:t>
      </w:r>
    </w:p>
    <w:p w:rsidR="00503F9E" w:rsidRPr="00503F9E" w:rsidRDefault="00503F9E" w:rsidP="00503F9E">
      <w:pPr>
        <w:pStyle w:val="ListBullet"/>
      </w:pPr>
      <w:r w:rsidRPr="00503F9E">
        <w:t>regent honeyeater</w:t>
      </w:r>
    </w:p>
    <w:p w:rsidR="00503F9E" w:rsidRPr="00503F9E" w:rsidRDefault="00503F9E" w:rsidP="00503F9E">
      <w:pPr>
        <w:pStyle w:val="ListBullet"/>
      </w:pPr>
      <w:r w:rsidRPr="00503F9E">
        <w:lastRenderedPageBreak/>
        <w:t>brush-tailed phascogale</w:t>
      </w:r>
    </w:p>
    <w:p w:rsidR="00503F9E" w:rsidRPr="00503F9E" w:rsidRDefault="00503F9E" w:rsidP="00503F9E">
      <w:pPr>
        <w:pStyle w:val="ListBullet"/>
      </w:pPr>
      <w:proofErr w:type="gramStart"/>
      <w:r w:rsidRPr="00503F9E">
        <w:t>common</w:t>
      </w:r>
      <w:proofErr w:type="gramEnd"/>
      <w:r w:rsidRPr="00503F9E">
        <w:t xml:space="preserve"> bent-wing bat.</w:t>
      </w:r>
    </w:p>
    <w:p w:rsidR="00503F9E" w:rsidRPr="00503F9E" w:rsidRDefault="00503F9E" w:rsidP="00503F9E">
      <w:pPr>
        <w:pStyle w:val="Heading3"/>
        <w:numPr>
          <w:ilvl w:val="0"/>
          <w:numId w:val="0"/>
        </w:numPr>
        <w:ind w:left="1077" w:hanging="1077"/>
      </w:pPr>
      <w:r w:rsidRPr="00503F9E">
        <w:t>Cultural Heritage</w:t>
      </w:r>
    </w:p>
    <w:p w:rsidR="00503F9E" w:rsidRPr="00503F9E" w:rsidRDefault="00503F9E" w:rsidP="00503F9E">
      <w:r w:rsidRPr="00503F9E">
        <w:t>Nillumbik has been shaped by its people over time and evidence can be seen in the</w:t>
      </w:r>
      <w:r>
        <w:t xml:space="preserve"> </w:t>
      </w:r>
      <w:r w:rsidRPr="00503F9E">
        <w:t>landscape. This section outlines the many human i</w:t>
      </w:r>
      <w:r>
        <w:t xml:space="preserve">nfluences on the landscape, the </w:t>
      </w:r>
      <w:r w:rsidRPr="00503F9E">
        <w:t>physical evidence left behind and traditions that endure.</w:t>
      </w:r>
    </w:p>
    <w:p w:rsidR="00503F9E" w:rsidRPr="00503F9E" w:rsidRDefault="00503F9E" w:rsidP="00503F9E">
      <w:pPr>
        <w:rPr>
          <w:b/>
        </w:rPr>
      </w:pPr>
      <w:r w:rsidRPr="00503F9E">
        <w:rPr>
          <w:b/>
        </w:rPr>
        <w:t xml:space="preserve">Land of the </w:t>
      </w:r>
      <w:proofErr w:type="spellStart"/>
      <w:r w:rsidRPr="00503F9E">
        <w:rPr>
          <w:b/>
        </w:rPr>
        <w:t>Wurundjeri</w:t>
      </w:r>
      <w:proofErr w:type="spellEnd"/>
    </w:p>
    <w:p w:rsidR="00503F9E" w:rsidRPr="00503F9E" w:rsidRDefault="00503F9E" w:rsidP="00503F9E">
      <w:r w:rsidRPr="00503F9E">
        <w:t xml:space="preserve">The area called the Shire of Nillumbik is the traditional land of the </w:t>
      </w:r>
      <w:proofErr w:type="spellStart"/>
      <w:r w:rsidRPr="00503F9E">
        <w:t>Wurundjeri-willam</w:t>
      </w:r>
      <w:proofErr w:type="spellEnd"/>
      <w:r>
        <w:t xml:space="preserve"> </w:t>
      </w:r>
      <w:r w:rsidRPr="00503F9E">
        <w:t xml:space="preserve">clan of the </w:t>
      </w:r>
      <w:proofErr w:type="spellStart"/>
      <w:r w:rsidRPr="00503F9E">
        <w:t>Woiwurrung</w:t>
      </w:r>
      <w:proofErr w:type="spellEnd"/>
      <w:r w:rsidRPr="00503F9E">
        <w:t xml:space="preserve"> speaking people. The </w:t>
      </w:r>
      <w:proofErr w:type="spellStart"/>
      <w:r w:rsidRPr="00503F9E">
        <w:t>Woiwurrung</w:t>
      </w:r>
      <w:proofErr w:type="spellEnd"/>
      <w:r w:rsidRPr="00503F9E">
        <w:t xml:space="preserve"> territory encompassed the</w:t>
      </w:r>
      <w:r>
        <w:t xml:space="preserve"> </w:t>
      </w:r>
      <w:r w:rsidRPr="00503F9E">
        <w:t>watersheds of both the Yarra and Maribyrnong Rivers</w:t>
      </w:r>
      <w:r>
        <w:t xml:space="preserve"> and covered much of </w:t>
      </w:r>
      <w:proofErr w:type="spellStart"/>
      <w:r>
        <w:t>presentday</w:t>
      </w:r>
      <w:proofErr w:type="spellEnd"/>
      <w:r>
        <w:t xml:space="preserve"> </w:t>
      </w:r>
      <w:r w:rsidRPr="00503F9E">
        <w:t>Melbourne.</w:t>
      </w:r>
    </w:p>
    <w:p w:rsidR="00503F9E" w:rsidRPr="00503F9E" w:rsidRDefault="00503F9E" w:rsidP="00503F9E">
      <w:r w:rsidRPr="00503F9E">
        <w:t>Early European squatters and settlers made fleetin</w:t>
      </w:r>
      <w:r>
        <w:t xml:space="preserve">g references to the presence of </w:t>
      </w:r>
      <w:r w:rsidRPr="00503F9E">
        <w:t>Indigenous people in the area. They found Indig</w:t>
      </w:r>
      <w:r>
        <w:t xml:space="preserve">enous people camped near creeks </w:t>
      </w:r>
      <w:r w:rsidRPr="00503F9E">
        <w:t>and swamps near Whittlesea and Greensborough and along the lagoons and</w:t>
      </w:r>
      <w:r>
        <w:t xml:space="preserve"> </w:t>
      </w:r>
      <w:r w:rsidRPr="00503F9E">
        <w:t>swamps near Diamond Creek and the river flats (presumably the Yarra River) near</w:t>
      </w:r>
      <w:r>
        <w:t xml:space="preserve"> </w:t>
      </w:r>
      <w:r w:rsidRPr="00503F9E">
        <w:t>Eltham and further east. They were also recorded as using water holes near</w:t>
      </w:r>
      <w:r>
        <w:t xml:space="preserve"> </w:t>
      </w:r>
      <w:r w:rsidRPr="00503F9E">
        <w:t>Kangaroo Ground. However, few records exist for other areas within the shire.</w:t>
      </w:r>
    </w:p>
    <w:p w:rsidR="00503F9E" w:rsidRPr="00503F9E" w:rsidRDefault="00503F9E" w:rsidP="00503F9E">
      <w:r w:rsidRPr="00503F9E">
        <w:t xml:space="preserve">The arrival of Europeans in the Port Phillip region </w:t>
      </w:r>
      <w:r>
        <w:t xml:space="preserve">had a significant impact on the </w:t>
      </w:r>
      <w:r w:rsidRPr="00503F9E">
        <w:t>local Indigenous population.</w:t>
      </w:r>
    </w:p>
    <w:p w:rsidR="00503F9E" w:rsidRPr="00503F9E" w:rsidRDefault="00503F9E" w:rsidP="00503F9E">
      <w:r w:rsidRPr="00503F9E">
        <w:t>Until European settlement much of Nillumbik Shire wa</w:t>
      </w:r>
      <w:r>
        <w:t xml:space="preserve">s covered in forest or woodland </w:t>
      </w:r>
      <w:r w:rsidRPr="00503F9E">
        <w:t>and the slopes of the Kinglake Ranges were hidden by dense scrub, brushwood and</w:t>
      </w:r>
      <w:r>
        <w:t xml:space="preserve"> </w:t>
      </w:r>
      <w:r w:rsidRPr="00503F9E">
        <w:t>ferny gullies. Aboriginal people would have used common plant species in their daily</w:t>
      </w:r>
      <w:r>
        <w:t xml:space="preserve"> </w:t>
      </w:r>
      <w:r w:rsidRPr="00503F9E">
        <w:t xml:space="preserve">lives. For example, the bark of the messmate </w:t>
      </w:r>
      <w:proofErr w:type="spellStart"/>
      <w:r w:rsidRPr="00503F9E">
        <w:t>stringybark</w:t>
      </w:r>
      <w:proofErr w:type="spellEnd"/>
      <w:r w:rsidRPr="00503F9E">
        <w:t xml:space="preserve"> was used as tinder for </w:t>
      </w:r>
      <w:proofErr w:type="spellStart"/>
      <w:r w:rsidRPr="00503F9E">
        <w:t>firemaking</w:t>
      </w:r>
      <w:proofErr w:type="spellEnd"/>
      <w:r>
        <w:t xml:space="preserve"> </w:t>
      </w:r>
      <w:r w:rsidRPr="00503F9E">
        <w:t>and to make nets and course string bags; silver wattle wood was used for</w:t>
      </w:r>
      <w:r>
        <w:t xml:space="preserve"> </w:t>
      </w:r>
      <w:r w:rsidRPr="00503F9E">
        <w:t>stone axe handles and its gum was dissolved in water to make a sweet drink;</w:t>
      </w:r>
      <w:r>
        <w:t xml:space="preserve"> </w:t>
      </w:r>
      <w:r w:rsidRPr="00503F9E">
        <w:t>blackwood bark was used as a treatment for rheumatism.</w:t>
      </w:r>
    </w:p>
    <w:p w:rsidR="00503F9E" w:rsidRPr="00503F9E" w:rsidRDefault="00503F9E" w:rsidP="00503F9E">
      <w:r w:rsidRPr="00503F9E">
        <w:t>Rivers and creeks, too, were an important source of food, stones and water-front</w:t>
      </w:r>
      <w:r>
        <w:t xml:space="preserve"> </w:t>
      </w:r>
      <w:r w:rsidRPr="00503F9E">
        <w:t>camp-sites. Early European settlers made reference to Aboriginal people camped by</w:t>
      </w:r>
      <w:r>
        <w:t xml:space="preserve"> </w:t>
      </w:r>
      <w:r w:rsidRPr="00503F9E">
        <w:t>the Yarra River, but it is unclear whether they were in traditional camping grounds or</w:t>
      </w:r>
      <w:r>
        <w:t xml:space="preserve"> </w:t>
      </w:r>
      <w:r w:rsidRPr="00503F9E">
        <w:t>were displaced by European encroachment on traditional lands. A number of archaeological sites remain as evidence of Aboriginal ownership within the shire</w:t>
      </w:r>
      <w:r>
        <w:t xml:space="preserve"> </w:t>
      </w:r>
      <w:r w:rsidRPr="00503F9E">
        <w:t>including scarred trees and artefact scatters.</w:t>
      </w:r>
    </w:p>
    <w:p w:rsidR="00503F9E" w:rsidRPr="00503F9E" w:rsidRDefault="00503F9E" w:rsidP="00503F9E">
      <w:r w:rsidRPr="00503F9E">
        <w:t>Council recognises the past, present and future spi</w:t>
      </w:r>
      <w:r>
        <w:t xml:space="preserve">ritual relationship between the </w:t>
      </w:r>
      <w:r w:rsidRPr="00503F9E">
        <w:t>land and its first people and the distinctive place of the Indigenous people in shaping</w:t>
      </w:r>
      <w:r>
        <w:t xml:space="preserve"> </w:t>
      </w:r>
      <w:r w:rsidRPr="00503F9E">
        <w:t>Nillumbik’s identity. Council is committed to developing a strong and lasting</w:t>
      </w:r>
      <w:r>
        <w:t xml:space="preserve"> </w:t>
      </w:r>
      <w:r w:rsidRPr="00503F9E">
        <w:t xml:space="preserve">relationship with the </w:t>
      </w:r>
      <w:proofErr w:type="spellStart"/>
      <w:r w:rsidRPr="00503F9E">
        <w:t>Wurundjeri</w:t>
      </w:r>
      <w:proofErr w:type="spellEnd"/>
      <w:r w:rsidRPr="00503F9E">
        <w:t xml:space="preserve"> and to supporting and celebrating their cultural</w:t>
      </w:r>
      <w:r>
        <w:t xml:space="preserve"> </w:t>
      </w:r>
      <w:r w:rsidRPr="00503F9E">
        <w:t>heritage.</w:t>
      </w:r>
    </w:p>
    <w:p w:rsidR="00503F9E" w:rsidRPr="00503F9E" w:rsidRDefault="00503F9E" w:rsidP="00503F9E">
      <w:r w:rsidRPr="00503F9E">
        <w:t>The Nillumbik Shire Cultural Heritage Review identifies a total of 210 archaeological</w:t>
      </w:r>
      <w:r>
        <w:t xml:space="preserve"> </w:t>
      </w:r>
      <w:r w:rsidRPr="00503F9E">
        <w:t>sites listed on the Aboriginal Affairs Victoria Registry. Of these 180 are listed as</w:t>
      </w:r>
      <w:r>
        <w:t xml:space="preserve"> </w:t>
      </w:r>
      <w:r w:rsidRPr="00503F9E">
        <w:t>artefact scatters, 21 as scarred trees, eight as earth features and one quarry site.</w:t>
      </w:r>
    </w:p>
    <w:p w:rsidR="00503F9E" w:rsidRPr="00503F9E" w:rsidRDefault="00503F9E" w:rsidP="00503F9E">
      <w:r w:rsidRPr="00503F9E">
        <w:lastRenderedPageBreak/>
        <w:t>A significant number of these sites are within the Ni</w:t>
      </w:r>
      <w:r>
        <w:t xml:space="preserve">llumbik Green Wedge. To protect </w:t>
      </w:r>
      <w:r w:rsidRPr="00503F9E">
        <w:t>them their locations cannot be made public, but it can be confirmed that there are</w:t>
      </w:r>
      <w:r>
        <w:t xml:space="preserve"> </w:t>
      </w:r>
      <w:r w:rsidRPr="00503F9E">
        <w:t>groupings of sites in the following Nillumbik Green Wedge areas:</w:t>
      </w:r>
    </w:p>
    <w:p w:rsidR="00503F9E" w:rsidRPr="00503F9E" w:rsidRDefault="00503F9E" w:rsidP="00503F9E">
      <w:pPr>
        <w:pStyle w:val="ListBullet"/>
      </w:pPr>
      <w:r w:rsidRPr="00503F9E">
        <w:t>the St Andrews–Kinglake Road near its intersectio</w:t>
      </w:r>
      <w:r>
        <w:t xml:space="preserve">n with the shire’s north-east </w:t>
      </w:r>
      <w:r w:rsidRPr="00503F9E">
        <w:t>boundary</w:t>
      </w:r>
    </w:p>
    <w:p w:rsidR="00503F9E" w:rsidRPr="00503F9E" w:rsidRDefault="00503F9E" w:rsidP="00503F9E">
      <w:pPr>
        <w:pStyle w:val="ListBullet"/>
      </w:pPr>
      <w:r w:rsidRPr="00503F9E">
        <w:t>in the far north of the shire near Mount Sugarloaf</w:t>
      </w:r>
    </w:p>
    <w:p w:rsidR="00503F9E" w:rsidRPr="00503F9E" w:rsidRDefault="00503F9E" w:rsidP="00503F9E">
      <w:pPr>
        <w:pStyle w:val="ListBullet"/>
      </w:pPr>
      <w:r w:rsidRPr="00503F9E">
        <w:t>along the Plenty River near Plenty and Yarrambat</w:t>
      </w:r>
    </w:p>
    <w:p w:rsidR="00503F9E" w:rsidRPr="00503F9E" w:rsidRDefault="00503F9E" w:rsidP="00503F9E">
      <w:pPr>
        <w:pStyle w:val="ListBullet"/>
      </w:pPr>
      <w:r w:rsidRPr="00503F9E">
        <w:t>in the vicinity of Arthurs Creek</w:t>
      </w:r>
    </w:p>
    <w:p w:rsidR="00503F9E" w:rsidRPr="00503F9E" w:rsidRDefault="00503F9E" w:rsidP="00503F9E">
      <w:pPr>
        <w:pStyle w:val="ListBullet"/>
      </w:pPr>
      <w:proofErr w:type="gramStart"/>
      <w:r w:rsidRPr="00503F9E">
        <w:t>along</w:t>
      </w:r>
      <w:proofErr w:type="gramEnd"/>
      <w:r w:rsidRPr="00503F9E">
        <w:t xml:space="preserve"> the Yarra River near the Bend of Islands.</w:t>
      </w:r>
    </w:p>
    <w:p w:rsidR="00503F9E" w:rsidRPr="00503F9E" w:rsidRDefault="00503F9E" w:rsidP="00503F9E">
      <w:r w:rsidRPr="00503F9E">
        <w:t>There could well be other Indigenous cultural sites in the Nillumbik Green Wedge.</w:t>
      </w:r>
      <w:r>
        <w:t xml:space="preserve"> </w:t>
      </w:r>
      <w:r w:rsidRPr="00503F9E">
        <w:t>Only five per cent of the shire has so far been subject to formal archaeological survey</w:t>
      </w:r>
      <w:r>
        <w:t xml:space="preserve"> </w:t>
      </w:r>
      <w:r w:rsidRPr="00503F9E">
        <w:t>and, according to the shire’s Aboriginal Heritage Study, land within 200 m of creeks</w:t>
      </w:r>
      <w:r>
        <w:t xml:space="preserve"> </w:t>
      </w:r>
      <w:r w:rsidRPr="00503F9E">
        <w:t>and rivers is of potential Indigenous cultural significance and undisturbed land like</w:t>
      </w:r>
      <w:r>
        <w:t xml:space="preserve"> </w:t>
      </w:r>
      <w:r w:rsidRPr="00503F9E">
        <w:t>this is of particular significance. Land close to waterways is mainly in the Nillumbik</w:t>
      </w:r>
      <w:r>
        <w:t xml:space="preserve"> </w:t>
      </w:r>
      <w:r w:rsidRPr="00503F9E">
        <w:t>Green Wedge and similarly, undisturbed land of this type is generally only found in</w:t>
      </w:r>
      <w:r>
        <w:t xml:space="preserve"> </w:t>
      </w:r>
      <w:r w:rsidRPr="00503F9E">
        <w:t>the Nillumbik Green Wedge.</w:t>
      </w:r>
    </w:p>
    <w:p w:rsidR="00503F9E" w:rsidRPr="00503F9E" w:rsidRDefault="00503F9E" w:rsidP="00503F9E">
      <w:pPr>
        <w:rPr>
          <w:b/>
        </w:rPr>
      </w:pPr>
      <w:r w:rsidRPr="00503F9E">
        <w:rPr>
          <w:b/>
        </w:rPr>
        <w:t>Transformation of the landscape – the first white settlers</w:t>
      </w:r>
    </w:p>
    <w:p w:rsidR="00503F9E" w:rsidRPr="00503F9E" w:rsidRDefault="00503F9E" w:rsidP="00503F9E">
      <w:r w:rsidRPr="00503F9E">
        <w:t>The transformation of the Nillumbik landscape began in the 1830s when the first</w:t>
      </w:r>
      <w:r>
        <w:t xml:space="preserve"> </w:t>
      </w:r>
      <w:r w:rsidRPr="00503F9E">
        <w:t>European settlers arrived to take up pastoral leases across much of the shire.</w:t>
      </w:r>
    </w:p>
    <w:p w:rsidR="00503F9E" w:rsidRPr="00503F9E" w:rsidRDefault="00503F9E" w:rsidP="00503F9E">
      <w:pPr>
        <w:rPr>
          <w:b/>
        </w:rPr>
      </w:pPr>
      <w:r w:rsidRPr="00503F9E">
        <w:rPr>
          <w:b/>
        </w:rPr>
        <w:t>Gold fever</w:t>
      </w:r>
    </w:p>
    <w:p w:rsidR="00503F9E" w:rsidRPr="00503F9E" w:rsidRDefault="00503F9E" w:rsidP="00503F9E">
      <w:r w:rsidRPr="00503F9E">
        <w:t>Gold was discovered at Anderson’s Creek, Warrandyte in 1851, the first official</w:t>
      </w:r>
      <w:r>
        <w:t xml:space="preserve"> </w:t>
      </w:r>
      <w:r w:rsidRPr="00503F9E">
        <w:t>goldfield in Victoria, and Nillumbik’s gold rush was on. In the late 1850s and 1860s</w:t>
      </w:r>
      <w:r>
        <w:t xml:space="preserve"> </w:t>
      </w:r>
      <w:r w:rsidRPr="00503F9E">
        <w:t>gold fever created demand for transport, services, food, accommodation, fuel and</w:t>
      </w:r>
      <w:r>
        <w:t xml:space="preserve"> </w:t>
      </w:r>
      <w:r w:rsidRPr="00503F9E">
        <w:t>water and led to the establishment of townships at Panton Hill, Research,</w:t>
      </w:r>
      <w:r>
        <w:t xml:space="preserve"> </w:t>
      </w:r>
      <w:r w:rsidRPr="00503F9E">
        <w:t>Queenstown (now St Andrews) and Diamond Creek.</w:t>
      </w:r>
    </w:p>
    <w:p w:rsidR="00503F9E" w:rsidRPr="00503F9E" w:rsidRDefault="00503F9E" w:rsidP="00503F9E">
      <w:pPr>
        <w:rPr>
          <w:b/>
        </w:rPr>
      </w:pPr>
      <w:r w:rsidRPr="00503F9E">
        <w:rPr>
          <w:b/>
        </w:rPr>
        <w:t>Fruit and farming</w:t>
      </w:r>
    </w:p>
    <w:p w:rsidR="006D0284" w:rsidRDefault="00503F9E" w:rsidP="00503F9E">
      <w:r w:rsidRPr="00503F9E">
        <w:t>The waxing and waning fortunes of gold mining after the 1860s and the depressions</w:t>
      </w:r>
      <w:r>
        <w:t xml:space="preserve"> </w:t>
      </w:r>
      <w:r w:rsidRPr="00503F9E">
        <w:t>of the 1890s and 1930s encouraged more Europeans to settle in Nillumbik.</w:t>
      </w:r>
      <w:r>
        <w:t xml:space="preserve"> </w:t>
      </w:r>
      <w:r w:rsidRPr="00503F9E">
        <w:t>Agriculture diversified to fruit growing and viticulture.</w:t>
      </w:r>
    </w:p>
    <w:p w:rsidR="00503F9E" w:rsidRDefault="00503F9E" w:rsidP="00503F9E">
      <w:r w:rsidRPr="00503F9E">
        <w:t>A Scottish farming community thrived at Kangaroo Ground in the 1840s, thanks to its</w:t>
      </w:r>
      <w:r w:rsidR="006D0284">
        <w:t xml:space="preserve"> </w:t>
      </w:r>
      <w:r w:rsidRPr="00503F9E">
        <w:t>rich and fertile volcanic soil. The Land Acts and Selection Acts of the 1860s allowed</w:t>
      </w:r>
      <w:r w:rsidR="006D0284">
        <w:t xml:space="preserve"> </w:t>
      </w:r>
      <w:r w:rsidRPr="00503F9E">
        <w:t>smaller blocks of land around the gold mining areas to be bought on condition the</w:t>
      </w:r>
      <w:r w:rsidR="006D0284">
        <w:t xml:space="preserve"> </w:t>
      </w:r>
      <w:r w:rsidRPr="00503F9E">
        <w:t>owners made improvements such as fencing and clearing. While this encouraged</w:t>
      </w:r>
      <w:r w:rsidR="006D0284">
        <w:t xml:space="preserve"> </w:t>
      </w:r>
      <w:r w:rsidRPr="00503F9E">
        <w:t>further settlement, and some made a success of it, poor soil, small lot sizes and the</w:t>
      </w:r>
      <w:r w:rsidR="006D0284">
        <w:t xml:space="preserve"> </w:t>
      </w:r>
      <w:r w:rsidRPr="00503F9E">
        <w:t>cost of improvements meant some had to supplement their earnings through rabbit</w:t>
      </w:r>
      <w:r w:rsidR="006D0284">
        <w:t xml:space="preserve"> </w:t>
      </w:r>
      <w:r w:rsidRPr="00503F9E">
        <w:t>shooting, carting or timber felling.</w:t>
      </w:r>
    </w:p>
    <w:p w:rsidR="006D0284" w:rsidRPr="006D0284" w:rsidRDefault="006D0284" w:rsidP="006D0284">
      <w:pPr>
        <w:rPr>
          <w:b/>
        </w:rPr>
      </w:pPr>
      <w:r w:rsidRPr="006D0284">
        <w:rPr>
          <w:b/>
        </w:rPr>
        <w:t>Orchards</w:t>
      </w:r>
    </w:p>
    <w:p w:rsidR="006D0284" w:rsidRPr="006D0284" w:rsidRDefault="006D0284" w:rsidP="006D0284">
      <w:r w:rsidRPr="006D0284">
        <w:t>Until the 1860s it was mostly tenant farmers who worked the land and enjoyed profits</w:t>
      </w:r>
      <w:r>
        <w:t xml:space="preserve"> </w:t>
      </w:r>
      <w:r w:rsidRPr="006D0284">
        <w:t>generated by the gold rushes and increased demand for food. Next, selectors</w:t>
      </w:r>
      <w:r>
        <w:t xml:space="preserve"> </w:t>
      </w:r>
      <w:r w:rsidRPr="006D0284">
        <w:t xml:space="preserve">established </w:t>
      </w:r>
      <w:r w:rsidRPr="006D0284">
        <w:lastRenderedPageBreak/>
        <w:t>orchards in the 1860s, making use of the quartz-laden soil of the gold</w:t>
      </w:r>
      <w:r>
        <w:t xml:space="preserve"> </w:t>
      </w:r>
      <w:r w:rsidRPr="006D0284">
        <w:t>mining areas and the small blocks of land selected in the Diamond Valley. By 1900,</w:t>
      </w:r>
      <w:r>
        <w:t xml:space="preserve"> </w:t>
      </w:r>
      <w:r w:rsidRPr="006D0284">
        <w:t xml:space="preserve">thriving orchards covered the west of the shire from Diamond Creek to </w:t>
      </w:r>
      <w:proofErr w:type="spellStart"/>
      <w:r w:rsidRPr="006D0284">
        <w:t>Strathewen</w:t>
      </w:r>
      <w:proofErr w:type="spellEnd"/>
      <w:r w:rsidRPr="006D0284">
        <w:t>.</w:t>
      </w:r>
      <w:r>
        <w:t xml:space="preserve"> </w:t>
      </w:r>
      <w:r w:rsidRPr="006D0284">
        <w:t>Fruit was exported to other states and overseas. For example, in the 1890s, 700</w:t>
      </w:r>
      <w:r>
        <w:t xml:space="preserve"> </w:t>
      </w:r>
      <w:r w:rsidRPr="006D0284">
        <w:t>cases were sent to Melbourne’s Victoria Market each week containing lemons,</w:t>
      </w:r>
      <w:r>
        <w:t xml:space="preserve"> </w:t>
      </w:r>
      <w:r w:rsidRPr="006D0284">
        <w:t>apples, plums, peaches, grapes, oranges, persimmons and more.</w:t>
      </w:r>
    </w:p>
    <w:p w:rsidR="006D0284" w:rsidRPr="006D0284" w:rsidRDefault="006D0284" w:rsidP="006D0284">
      <w:r w:rsidRPr="006D0284">
        <w:t>Increased competition after Federation (1901), World War I (1914–18) and the Great</w:t>
      </w:r>
      <w:r>
        <w:t xml:space="preserve"> </w:t>
      </w:r>
      <w:r w:rsidRPr="006D0284">
        <w:t>Depression (1929–32) led many of the area's orchar</w:t>
      </w:r>
      <w:r>
        <w:t xml:space="preserve">dists to turn to other pursuits </w:t>
      </w:r>
      <w:r w:rsidRPr="006D0284">
        <w:t>such as poultry, selling firewood or supplementing their incomes by working for other</w:t>
      </w:r>
      <w:r>
        <w:t xml:space="preserve"> </w:t>
      </w:r>
      <w:r w:rsidRPr="006D0284">
        <w:t>landowners. Land was also more profitable for building and was sub-divided. Today,</w:t>
      </w:r>
      <w:r>
        <w:t xml:space="preserve"> </w:t>
      </w:r>
      <w:r w:rsidRPr="006D0284">
        <w:t>a small number of farms produce crops of apples, pears and grapes (Nillumbik Shire</w:t>
      </w:r>
      <w:r>
        <w:t xml:space="preserve"> </w:t>
      </w:r>
      <w:r w:rsidRPr="006D0284">
        <w:t>Council 2006, p. 22).</w:t>
      </w:r>
    </w:p>
    <w:p w:rsidR="006D0284" w:rsidRPr="006D0284" w:rsidRDefault="006D0284" w:rsidP="006D0284">
      <w:pPr>
        <w:rPr>
          <w:b/>
        </w:rPr>
      </w:pPr>
      <w:r w:rsidRPr="006D0284">
        <w:rPr>
          <w:b/>
        </w:rPr>
        <w:t>Wine growing</w:t>
      </w:r>
    </w:p>
    <w:p w:rsidR="006D0284" w:rsidRPr="006D0284" w:rsidRDefault="006D0284" w:rsidP="006D0284">
      <w:r w:rsidRPr="006D0284">
        <w:t>Wine growing started in the Yarra Valley in 1836 at Yering. In 1850 Joseph</w:t>
      </w:r>
      <w:r>
        <w:t xml:space="preserve"> </w:t>
      </w:r>
      <w:r w:rsidRPr="006D0284">
        <w:t>Stevenson established a vineyard at Kangaroo Ground. Today, the Shire of Nillumbik</w:t>
      </w:r>
      <w:r>
        <w:t xml:space="preserve"> </w:t>
      </w:r>
      <w:r w:rsidRPr="006D0284">
        <w:t>has 42 vineyards in the northern part of the Yarra Valley wine region.</w:t>
      </w:r>
    </w:p>
    <w:p w:rsidR="006D0284" w:rsidRPr="006D0284" w:rsidRDefault="006D0284" w:rsidP="006D0284">
      <w:pPr>
        <w:rPr>
          <w:b/>
        </w:rPr>
      </w:pPr>
      <w:r w:rsidRPr="006D0284">
        <w:rPr>
          <w:b/>
        </w:rPr>
        <w:t>Water supply</w:t>
      </w:r>
    </w:p>
    <w:p w:rsidR="006D0284" w:rsidRPr="006D0284" w:rsidRDefault="006D0284" w:rsidP="006D0284">
      <w:r w:rsidRPr="006D0284">
        <w:t>Melbourne’s increasing population created need for a permanent water supply. The</w:t>
      </w:r>
      <w:r>
        <w:t xml:space="preserve"> </w:t>
      </w:r>
      <w:r w:rsidRPr="006D0284">
        <w:t>shire's water resources were harnessed by first extending the Yan Yean Reservoir's</w:t>
      </w:r>
      <w:r>
        <w:t xml:space="preserve"> </w:t>
      </w:r>
      <w:r w:rsidRPr="006D0284">
        <w:t>catchment area in the 1870s. In 1886, work began on a weir on the Watts River near</w:t>
      </w:r>
      <w:r>
        <w:t xml:space="preserve"> </w:t>
      </w:r>
      <w:r w:rsidRPr="006D0284">
        <w:t>Healesville and on construction of the Maroondah Aqueduct.</w:t>
      </w:r>
    </w:p>
    <w:p w:rsidR="006D0284" w:rsidRPr="006D0284" w:rsidRDefault="006D0284" w:rsidP="006D0284">
      <w:r w:rsidRPr="006D0284">
        <w:t>The Maroondah Aqueduct had a marked imp</w:t>
      </w:r>
      <w:r>
        <w:t xml:space="preserve">act on the shire as many of the </w:t>
      </w:r>
      <w:r w:rsidRPr="006D0284">
        <w:t>construction workers’ families settled along its route. The Aqueduct, opened in 1891,</w:t>
      </w:r>
      <w:r>
        <w:t xml:space="preserve"> </w:t>
      </w:r>
      <w:r w:rsidRPr="006D0284">
        <w:t>travels through Christmas Hills, Kangaroo Ground, Research and Greensborough on</w:t>
      </w:r>
      <w:r>
        <w:t xml:space="preserve"> </w:t>
      </w:r>
      <w:r w:rsidRPr="006D0284">
        <w:t>its way to Preston. Although it is no longer in use, the Maroondah Aqueduct can still</w:t>
      </w:r>
      <w:r>
        <w:t xml:space="preserve"> </w:t>
      </w:r>
      <w:r w:rsidRPr="006D0284">
        <w:t>be traced across the shire with some sections of the channel visible at Research and</w:t>
      </w:r>
      <w:r>
        <w:t xml:space="preserve"> </w:t>
      </w:r>
      <w:r w:rsidRPr="006D0284">
        <w:t>Eltham North.</w:t>
      </w:r>
    </w:p>
    <w:p w:rsidR="006D0284" w:rsidRPr="006D0284" w:rsidRDefault="006D0284" w:rsidP="006D0284">
      <w:r w:rsidRPr="006D0284">
        <w:t>Running Creek Reservoir, Hurstbridge, was completed in 1964.The Sugarloaf</w:t>
      </w:r>
      <w:r>
        <w:t xml:space="preserve"> </w:t>
      </w:r>
      <w:r w:rsidRPr="006D0284">
        <w:t>Reservoir was constructed during the 1970s flooding 445 hectares of land in</w:t>
      </w:r>
      <w:r>
        <w:t xml:space="preserve"> </w:t>
      </w:r>
      <w:r w:rsidRPr="006D0284">
        <w:t>Christmas Hills. It was opened officially in 1980 and serves as a water storage and</w:t>
      </w:r>
      <w:r>
        <w:t xml:space="preserve"> </w:t>
      </w:r>
      <w:r w:rsidRPr="006D0284">
        <w:t>treatment plant supplying Melbourne.</w:t>
      </w:r>
    </w:p>
    <w:p w:rsidR="006D0284" w:rsidRPr="006D0284" w:rsidRDefault="006D0284" w:rsidP="006D0284">
      <w:pPr>
        <w:rPr>
          <w:b/>
        </w:rPr>
      </w:pPr>
      <w:r w:rsidRPr="006D0284">
        <w:rPr>
          <w:b/>
        </w:rPr>
        <w:t>Travel and transport</w:t>
      </w:r>
    </w:p>
    <w:p w:rsidR="006D0284" w:rsidRPr="006D0284" w:rsidRDefault="006D0284" w:rsidP="006D0284">
      <w:r w:rsidRPr="006D0284">
        <w:t>Many of the roads in the shire today are along routes set out by the early settlers.</w:t>
      </w:r>
      <w:r>
        <w:t xml:space="preserve"> </w:t>
      </w:r>
      <w:r w:rsidRPr="006D0284">
        <w:t>These include tracks laid out by miners and local suppliers of food to the diggings.</w:t>
      </w:r>
    </w:p>
    <w:p w:rsidR="006D0284" w:rsidRPr="006D0284" w:rsidRDefault="006D0284" w:rsidP="006D0284">
      <w:r w:rsidRPr="006D0284">
        <w:t>The railway line to Eltham was opened officially</w:t>
      </w:r>
      <w:r>
        <w:t xml:space="preserve"> in 1902. The line was extended </w:t>
      </w:r>
      <w:r w:rsidRPr="006D0284">
        <w:t>through Diamond Creek to Hurstbridge in 1912 and was electrified in 1926.</w:t>
      </w:r>
    </w:p>
    <w:p w:rsidR="006D0284" w:rsidRPr="006D0284" w:rsidRDefault="006D0284" w:rsidP="006D0284">
      <w:r w:rsidRPr="006D0284">
        <w:t>Today cars are the main form of transport for the maj</w:t>
      </w:r>
      <w:r>
        <w:t xml:space="preserve">ority of the community with the </w:t>
      </w:r>
      <w:r w:rsidRPr="006D0284">
        <w:t>Shire of Nillumbik’s residents having the highest number of cars per household in</w:t>
      </w:r>
      <w:r>
        <w:t xml:space="preserve"> </w:t>
      </w:r>
      <w:r w:rsidRPr="006D0284">
        <w:t>Melbourne.</w:t>
      </w:r>
    </w:p>
    <w:p w:rsidR="006D0284" w:rsidRPr="006D0284" w:rsidRDefault="006D0284" w:rsidP="006D0284">
      <w:pPr>
        <w:rPr>
          <w:b/>
        </w:rPr>
      </w:pPr>
      <w:r w:rsidRPr="006D0284">
        <w:rPr>
          <w:b/>
        </w:rPr>
        <w:t>Tourism</w:t>
      </w:r>
    </w:p>
    <w:p w:rsidR="006D0284" w:rsidRDefault="006D0284" w:rsidP="006D0284">
      <w:r w:rsidRPr="006D0284">
        <w:t>Easy access by rail in the early 20th century was a boost for tourism as day trippers</w:t>
      </w:r>
      <w:r>
        <w:t xml:space="preserve"> </w:t>
      </w:r>
      <w:r w:rsidRPr="006D0284">
        <w:t>flocked to enjoy the fresh air and rural aspects of the shire; walking was particularly</w:t>
      </w:r>
      <w:r>
        <w:t xml:space="preserve"> </w:t>
      </w:r>
      <w:r w:rsidRPr="006D0284">
        <w:lastRenderedPageBreak/>
        <w:t>popular. For those staying more than a day, there w</w:t>
      </w:r>
      <w:r>
        <w:t xml:space="preserve">ere a number of guest houses in </w:t>
      </w:r>
      <w:r w:rsidRPr="006D0284">
        <w:t>Christmas Hills from the 1890s (Butler 1996, p. 48).</w:t>
      </w:r>
    </w:p>
    <w:p w:rsidR="006D0284" w:rsidRPr="006D0284" w:rsidRDefault="006D0284" w:rsidP="006D0284">
      <w:r w:rsidRPr="006D0284">
        <w:t>Today, tourism is centred on boutique wineries, cafes and restaurants, small bed and</w:t>
      </w:r>
      <w:r>
        <w:t xml:space="preserve"> </w:t>
      </w:r>
      <w:r w:rsidRPr="006D0284">
        <w:t>breakfasts and on the area’s arts heritage and scenic open spaces.</w:t>
      </w:r>
    </w:p>
    <w:p w:rsidR="006D0284" w:rsidRPr="006D0284" w:rsidRDefault="006D0284" w:rsidP="006D0284">
      <w:pPr>
        <w:rPr>
          <w:b/>
        </w:rPr>
      </w:pPr>
      <w:r w:rsidRPr="006D0284">
        <w:rPr>
          <w:b/>
        </w:rPr>
        <w:t>A tradition of artists and ‘environmental’ building</w:t>
      </w:r>
    </w:p>
    <w:p w:rsidR="006D0284" w:rsidRPr="006D0284" w:rsidRDefault="006D0284" w:rsidP="006D0284">
      <w:r w:rsidRPr="006D0284">
        <w:t>Ever since Walter Withers (1854–1914), a member of the Heidelberg School, lived in</w:t>
      </w:r>
      <w:r>
        <w:t xml:space="preserve"> </w:t>
      </w:r>
      <w:r w:rsidRPr="006D0284">
        <w:t>Eltham, the community has been home and inspirat</w:t>
      </w:r>
      <w:r>
        <w:t xml:space="preserve">ion for a number of Australia's </w:t>
      </w:r>
      <w:r w:rsidRPr="006D0284">
        <w:t>artists and intellectuals. Drawn by its beauty they have influenced the local lifestyle</w:t>
      </w:r>
      <w:r>
        <w:t xml:space="preserve"> </w:t>
      </w:r>
      <w:r w:rsidRPr="006D0284">
        <w:t>and environment of Nillumbik and its green wedge.</w:t>
      </w:r>
    </w:p>
    <w:p w:rsidR="006D0284" w:rsidRPr="006D0284" w:rsidRDefault="006D0284" w:rsidP="006D0284">
      <w:pPr>
        <w:rPr>
          <w:b/>
        </w:rPr>
      </w:pPr>
      <w:r w:rsidRPr="006D0284">
        <w:rPr>
          <w:b/>
        </w:rPr>
        <w:t>Famous names</w:t>
      </w:r>
    </w:p>
    <w:p w:rsidR="006D0284" w:rsidRPr="006D0284" w:rsidRDefault="006D0284" w:rsidP="006D0284">
      <w:r w:rsidRPr="006D0284">
        <w:t>The Shire of Nillumbik's artistic tradition boast</w:t>
      </w:r>
      <w:r>
        <w:t xml:space="preserve">s famous names in the fields of </w:t>
      </w:r>
      <w:r w:rsidRPr="006D0284">
        <w:t>painting, sculpture, jewellery design, music, theatre, ceramics, cartooning, writing,</w:t>
      </w:r>
      <w:r>
        <w:t xml:space="preserve"> </w:t>
      </w:r>
      <w:r w:rsidRPr="006D0284">
        <w:t>and landscape architecture. Notable painters include: Clara Southern, Max Meldrum,</w:t>
      </w:r>
      <w:r>
        <w:t xml:space="preserve"> </w:t>
      </w:r>
      <w:r w:rsidRPr="006D0284">
        <w:t>May Vale, William 'Jock' Frater and Clifton Pugh. Local sculptors and jewellers</w:t>
      </w:r>
      <w:r>
        <w:t xml:space="preserve"> </w:t>
      </w:r>
      <w:r w:rsidRPr="006D0284">
        <w:t xml:space="preserve">include: Michael Wilson, Matcham Skipper, Tim Benson and Simon </w:t>
      </w:r>
      <w:proofErr w:type="spellStart"/>
      <w:r w:rsidRPr="006D0284">
        <w:t>Baigent</w:t>
      </w:r>
      <w:proofErr w:type="spellEnd"/>
      <w:r w:rsidRPr="006D0284">
        <w:t>, and</w:t>
      </w:r>
      <w:r>
        <w:t xml:space="preserve"> </w:t>
      </w:r>
      <w:r w:rsidRPr="006D0284">
        <w:t xml:space="preserve">composers and musicians include: Dorian </w:t>
      </w:r>
      <w:proofErr w:type="spellStart"/>
      <w:r w:rsidRPr="006D0284">
        <w:t>LeGallienne</w:t>
      </w:r>
      <w:proofErr w:type="spellEnd"/>
      <w:r w:rsidRPr="006D0284">
        <w:t>, Graeme and Roger Bell,</w:t>
      </w:r>
      <w:r>
        <w:t xml:space="preserve"> </w:t>
      </w:r>
      <w:r w:rsidRPr="006D0284">
        <w:t xml:space="preserve">Mike Brady, Sebastian </w:t>
      </w:r>
      <w:proofErr w:type="spellStart"/>
      <w:r w:rsidRPr="006D0284">
        <w:t>Jörgensen</w:t>
      </w:r>
      <w:proofErr w:type="spellEnd"/>
      <w:r w:rsidRPr="006D0284">
        <w:t xml:space="preserve"> and </w:t>
      </w:r>
      <w:proofErr w:type="spellStart"/>
      <w:r w:rsidRPr="006D0284">
        <w:t>Franciscus</w:t>
      </w:r>
      <w:proofErr w:type="spellEnd"/>
      <w:r w:rsidRPr="006D0284">
        <w:t xml:space="preserve"> Henri. The world of theatre is</w:t>
      </w:r>
      <w:r>
        <w:t xml:space="preserve"> </w:t>
      </w:r>
      <w:r w:rsidRPr="006D0284">
        <w:t xml:space="preserve">represented by playwright David Williamson, potter Leon </w:t>
      </w:r>
      <w:proofErr w:type="spellStart"/>
      <w:r w:rsidRPr="006D0284">
        <w:t>Saper</w:t>
      </w:r>
      <w:proofErr w:type="spellEnd"/>
      <w:r w:rsidRPr="006D0284">
        <w:t xml:space="preserve"> was a resident and</w:t>
      </w:r>
      <w:r>
        <w:t xml:space="preserve"> </w:t>
      </w:r>
      <w:r w:rsidRPr="006D0284">
        <w:t xml:space="preserve">cartoonists Michael </w:t>
      </w:r>
      <w:proofErr w:type="spellStart"/>
      <w:r w:rsidRPr="006D0284">
        <w:t>Leunig</w:t>
      </w:r>
      <w:proofErr w:type="spellEnd"/>
      <w:r w:rsidRPr="006D0284">
        <w:t xml:space="preserve"> and Percy </w:t>
      </w:r>
      <w:proofErr w:type="spellStart"/>
      <w:r w:rsidRPr="006D0284">
        <w:t>Leason</w:t>
      </w:r>
      <w:proofErr w:type="spellEnd"/>
      <w:r w:rsidRPr="006D0284">
        <w:t xml:space="preserve"> also lived in Nillumbik for several</w:t>
      </w:r>
      <w:r>
        <w:t xml:space="preserve"> </w:t>
      </w:r>
      <w:r w:rsidRPr="006D0284">
        <w:t>years. Writers and poets include Frank Dalby Davidson, Banjo Patterson, Alan</w:t>
      </w:r>
      <w:r>
        <w:t xml:space="preserve"> </w:t>
      </w:r>
      <w:r w:rsidRPr="006D0284">
        <w:t>Marshall, Betty Rowland and Jon Weaving. Landscape architects and builders such</w:t>
      </w:r>
      <w:r>
        <w:t xml:space="preserve"> </w:t>
      </w:r>
      <w:r w:rsidRPr="006D0284">
        <w:t>as Gordon Ford, Alistair Knox, Edna Walling, Ellis Stone, Sam Cox and Robert</w:t>
      </w:r>
      <w:r>
        <w:t xml:space="preserve"> </w:t>
      </w:r>
      <w:r w:rsidRPr="006D0284">
        <w:t>Boyle, also live, or have lived, in the shire.</w:t>
      </w:r>
    </w:p>
    <w:p w:rsidR="006D0284" w:rsidRPr="006D0284" w:rsidRDefault="006D0284" w:rsidP="006D0284">
      <w:pPr>
        <w:rPr>
          <w:b/>
        </w:rPr>
      </w:pPr>
      <w:r w:rsidRPr="006D0284">
        <w:rPr>
          <w:b/>
        </w:rPr>
        <w:t>Building Warrandyte style</w:t>
      </w:r>
    </w:p>
    <w:p w:rsidR="006D0284" w:rsidRPr="006D0284" w:rsidRDefault="006D0284" w:rsidP="006D0284">
      <w:r w:rsidRPr="006D0284">
        <w:t xml:space="preserve">Russian-born painter Danila </w:t>
      </w:r>
      <w:proofErr w:type="spellStart"/>
      <w:r w:rsidRPr="006D0284">
        <w:t>Vassilief</w:t>
      </w:r>
      <w:proofErr w:type="spellEnd"/>
      <w:r w:rsidRPr="006D0284">
        <w:t xml:space="preserve"> arrived in Warrandyte in the late 1930s,</w:t>
      </w:r>
      <w:r>
        <w:t xml:space="preserve"> </w:t>
      </w:r>
      <w:r w:rsidRPr="006D0284">
        <w:t>building his own home from logs and stone, some carved from natural rock, and so</w:t>
      </w:r>
      <w:r>
        <w:t xml:space="preserve"> </w:t>
      </w:r>
      <w:r w:rsidRPr="006D0284">
        <w:t>created what architect Robin Boyd would later term 'the Warrandyte style': a style of</w:t>
      </w:r>
      <w:r>
        <w:t xml:space="preserve"> </w:t>
      </w:r>
      <w:r w:rsidRPr="006D0284">
        <w:t>building using local materials.</w:t>
      </w:r>
    </w:p>
    <w:p w:rsidR="006D0284" w:rsidRPr="006D0284" w:rsidRDefault="006D0284" w:rsidP="006D0284">
      <w:pPr>
        <w:rPr>
          <w:b/>
        </w:rPr>
      </w:pPr>
      <w:proofErr w:type="spellStart"/>
      <w:r w:rsidRPr="006D0284">
        <w:rPr>
          <w:b/>
        </w:rPr>
        <w:t>Montsalvat</w:t>
      </w:r>
      <w:proofErr w:type="spellEnd"/>
      <w:r w:rsidRPr="006D0284">
        <w:rPr>
          <w:b/>
        </w:rPr>
        <w:t xml:space="preserve"> and mud bricks</w:t>
      </w:r>
    </w:p>
    <w:p w:rsidR="006D0284" w:rsidRPr="006D0284" w:rsidRDefault="006D0284" w:rsidP="006D0284">
      <w:proofErr w:type="spellStart"/>
      <w:r w:rsidRPr="006D0284">
        <w:t>Montsalvat</w:t>
      </w:r>
      <w:proofErr w:type="spellEnd"/>
      <w:r w:rsidRPr="006D0284">
        <w:t xml:space="preserve"> artists’ colony is perhaps the best known </w:t>
      </w:r>
      <w:r>
        <w:t xml:space="preserve">landmark of the area's artistic </w:t>
      </w:r>
      <w:r w:rsidRPr="006D0284">
        <w:t xml:space="preserve">tradition. Justus </w:t>
      </w:r>
      <w:proofErr w:type="spellStart"/>
      <w:r w:rsidRPr="006D0284">
        <w:t>Jörgensen</w:t>
      </w:r>
      <w:proofErr w:type="spellEnd"/>
      <w:r w:rsidRPr="006D0284">
        <w:t xml:space="preserve"> began building his home in 1935 w</w:t>
      </w:r>
      <w:r>
        <w:t xml:space="preserve">ith help from family, </w:t>
      </w:r>
      <w:r w:rsidRPr="006D0284">
        <w:t>friends and artists. Built in stages, new buildings were still being added in the 1970s.</w:t>
      </w:r>
      <w:r>
        <w:t xml:space="preserve"> </w:t>
      </w:r>
      <w:r w:rsidRPr="006D0284">
        <w:t xml:space="preserve">The lifestyle pursued by </w:t>
      </w:r>
      <w:proofErr w:type="spellStart"/>
      <w:r w:rsidRPr="006D0284">
        <w:t>Jörgensen</w:t>
      </w:r>
      <w:proofErr w:type="spellEnd"/>
      <w:r w:rsidRPr="006D0284">
        <w:t>, his family, friends and students became nearly</w:t>
      </w:r>
      <w:r>
        <w:t xml:space="preserve"> </w:t>
      </w:r>
      <w:r w:rsidRPr="006D0284">
        <w:t>as famous as the buildings and came to have a lasting influence on the image of</w:t>
      </w:r>
      <w:r>
        <w:t xml:space="preserve"> </w:t>
      </w:r>
      <w:r w:rsidRPr="006D0284">
        <w:t>Eltham as a whole.</w:t>
      </w:r>
    </w:p>
    <w:p w:rsidR="006D0284" w:rsidRPr="006D0284" w:rsidRDefault="006D0284" w:rsidP="006D0284">
      <w:r w:rsidRPr="006D0284">
        <w:t xml:space="preserve">Alistair Knox, a regular visitor to </w:t>
      </w:r>
      <w:proofErr w:type="spellStart"/>
      <w:r w:rsidRPr="006D0284">
        <w:t>Montsalvat</w:t>
      </w:r>
      <w:proofErr w:type="spellEnd"/>
      <w:r w:rsidRPr="006D0284">
        <w:t>, designed and built many Eltham houses</w:t>
      </w:r>
      <w:r>
        <w:t xml:space="preserve"> </w:t>
      </w:r>
      <w:r w:rsidRPr="006D0284">
        <w:t>in his favoured mud brick which became the typical Eltham building style in the post-</w:t>
      </w:r>
      <w:r>
        <w:t xml:space="preserve"> </w:t>
      </w:r>
      <w:r w:rsidRPr="006D0284">
        <w:t>World War II period.</w:t>
      </w:r>
    </w:p>
    <w:p w:rsidR="006D0284" w:rsidRPr="006D0284" w:rsidRDefault="006D0284" w:rsidP="006D0284">
      <w:r w:rsidRPr="006D0284">
        <w:t>The introduction to Knox’s book Living in the Environment begins with the assertion:</w:t>
      </w:r>
      <w:r>
        <w:t xml:space="preserve"> </w:t>
      </w:r>
      <w:r w:rsidRPr="006D0284">
        <w:t>‘…the humble mud brick is unquestionably the most universal and enduring of all</w:t>
      </w:r>
      <w:r>
        <w:t xml:space="preserve"> </w:t>
      </w:r>
      <w:r w:rsidRPr="006D0284">
        <w:t>building materials’ and ‘The modern earth building movement could be said to have</w:t>
      </w:r>
      <w:r>
        <w:t xml:space="preserve"> </w:t>
      </w:r>
      <w:r w:rsidRPr="006D0284">
        <w:t xml:space="preserve">actually started in Eltham, Victoria [at </w:t>
      </w:r>
      <w:proofErr w:type="spellStart"/>
      <w:r w:rsidRPr="006D0284">
        <w:t>Montsalvat</w:t>
      </w:r>
      <w:proofErr w:type="spellEnd"/>
      <w:r w:rsidRPr="006D0284">
        <w:t>]’.</w:t>
      </w:r>
    </w:p>
    <w:p w:rsidR="006D0284" w:rsidRPr="006D0284" w:rsidRDefault="006D0284" w:rsidP="006D0284">
      <w:r w:rsidRPr="006D0284">
        <w:lastRenderedPageBreak/>
        <w:t>The sound of the hammer and the song of</w:t>
      </w:r>
      <w:r>
        <w:t xml:space="preserve"> the mud brick maker filled the </w:t>
      </w:r>
      <w:r w:rsidRPr="006D0284">
        <w:t>Eltham Valley with an alternative approach to living that it has never lost</w:t>
      </w:r>
      <w:r>
        <w:t xml:space="preserve"> </w:t>
      </w:r>
      <w:r w:rsidRPr="006D0284">
        <w:t>(Knox, A 1985, p. 26).</w:t>
      </w:r>
    </w:p>
    <w:p w:rsidR="006D0284" w:rsidRPr="006D0284" w:rsidRDefault="006D0284" w:rsidP="006D0284">
      <w:pPr>
        <w:rPr>
          <w:b/>
        </w:rPr>
      </w:pPr>
      <w:r w:rsidRPr="006D0284">
        <w:rPr>
          <w:b/>
        </w:rPr>
        <w:t>A continuing tradition of ‘alternative’ lifestyles</w:t>
      </w:r>
    </w:p>
    <w:p w:rsidR="006D0284" w:rsidRPr="006D0284" w:rsidRDefault="006D0284" w:rsidP="006D0284">
      <w:r w:rsidRPr="006D0284">
        <w:t>Artists, writers and intellectuals continued to be attracted to the Nillumbik area in the</w:t>
      </w:r>
      <w:r>
        <w:t xml:space="preserve"> </w:t>
      </w:r>
      <w:r w:rsidRPr="006D0284">
        <w:t>decades after World War II. Clifton Pugh established an artist's colony in the late 1950s at Cottles Bridge and</w:t>
      </w:r>
      <w:r>
        <w:t xml:space="preserve"> </w:t>
      </w:r>
      <w:r w:rsidRPr="006D0284">
        <w:t xml:space="preserve">attracted several artists to join him. Called </w:t>
      </w:r>
      <w:proofErr w:type="spellStart"/>
      <w:r w:rsidRPr="006D0284">
        <w:t>Dunmoochin</w:t>
      </w:r>
      <w:proofErr w:type="spellEnd"/>
      <w:r w:rsidRPr="006D0284">
        <w:t>, the colony is an eclectic</w:t>
      </w:r>
      <w:r>
        <w:t xml:space="preserve"> </w:t>
      </w:r>
      <w:r w:rsidRPr="006D0284">
        <w:t>collection of mud brick homes, studios and cottages still serving as an artist's retreat</w:t>
      </w:r>
      <w:r>
        <w:t xml:space="preserve"> </w:t>
      </w:r>
      <w:r w:rsidRPr="006D0284">
        <w:t>today.</w:t>
      </w:r>
    </w:p>
    <w:p w:rsidR="006D0284" w:rsidRDefault="006D0284" w:rsidP="006D0284">
      <w:r w:rsidRPr="006D0284">
        <w:t>And, in the 1970s local artist and environmental activist Neil Douglas established an</w:t>
      </w:r>
      <w:r>
        <w:t xml:space="preserve"> </w:t>
      </w:r>
      <w:r w:rsidRPr="006D0284">
        <w:t>Environmental Living Zone at the Bend of Islands. He</w:t>
      </w:r>
      <w:r>
        <w:t xml:space="preserve"> urged people to conserve their l</w:t>
      </w:r>
      <w:r w:rsidRPr="006D0284">
        <w:t>and as bush and to minimise their impacts on it. In 1982, they had the Bend of</w:t>
      </w:r>
      <w:r>
        <w:t xml:space="preserve"> </w:t>
      </w:r>
      <w:r w:rsidRPr="006D0284">
        <w:t>Islands Environmental Living Zone declared.</w:t>
      </w:r>
    </w:p>
    <w:p w:rsidR="006D0284" w:rsidRDefault="006D0284">
      <w:r>
        <w:br w:type="page"/>
      </w:r>
    </w:p>
    <w:p w:rsidR="006D0284" w:rsidRPr="006D0284" w:rsidRDefault="006D0284" w:rsidP="006D0284">
      <w:pPr>
        <w:pStyle w:val="Heading2"/>
        <w:numPr>
          <w:ilvl w:val="0"/>
          <w:numId w:val="0"/>
        </w:numPr>
        <w:ind w:left="1077" w:hanging="1077"/>
      </w:pPr>
      <w:r w:rsidRPr="006D0284">
        <w:lastRenderedPageBreak/>
        <w:t>Appendix 3: economy of the Nillumbik green wedge</w:t>
      </w:r>
    </w:p>
    <w:p w:rsidR="006D0284" w:rsidRPr="006D0284" w:rsidRDefault="006D0284" w:rsidP="006D0284">
      <w:pPr>
        <w:pStyle w:val="Heading3"/>
        <w:numPr>
          <w:ilvl w:val="0"/>
          <w:numId w:val="0"/>
        </w:numPr>
        <w:ind w:left="1077" w:hanging="1077"/>
      </w:pPr>
      <w:r w:rsidRPr="006D0284">
        <w:t>Agriculture</w:t>
      </w:r>
    </w:p>
    <w:p w:rsidR="006D0284" w:rsidRPr="006D0284" w:rsidRDefault="006D0284" w:rsidP="006D0284">
      <w:r w:rsidRPr="006D0284">
        <w:t>There are approximately 200 active agribusinesses in the Nillumbik</w:t>
      </w:r>
      <w:r>
        <w:t xml:space="preserve"> </w:t>
      </w:r>
      <w:r w:rsidRPr="006D0284">
        <w:t>Green Wedge creating around 150 jobs (4.9 per cent of Nillumbik</w:t>
      </w:r>
      <w:r>
        <w:t xml:space="preserve"> </w:t>
      </w:r>
      <w:r w:rsidRPr="006D0284">
        <w:t>Green Wedge jobs) with further local employment supported through</w:t>
      </w:r>
      <w:r>
        <w:t xml:space="preserve"> </w:t>
      </w:r>
      <w:r w:rsidRPr="006D0284">
        <w:t>services to the industry. Areas of agriculture in the northern region are</w:t>
      </w:r>
      <w:r>
        <w:t xml:space="preserve"> </w:t>
      </w:r>
      <w:r w:rsidRPr="006D0284">
        <w:t>used primarily for grazing, and the eastern and southern regions</w:t>
      </w:r>
      <w:r>
        <w:t xml:space="preserve"> </w:t>
      </w:r>
      <w:r w:rsidRPr="006D0284">
        <w:t>support viticulture and horticulture (Es</w:t>
      </w:r>
      <w:r>
        <w:t xml:space="preserve">sential Economics 2008, pp. 51– </w:t>
      </w:r>
      <w:r w:rsidRPr="006D0284">
        <w:t>53).</w:t>
      </w:r>
    </w:p>
    <w:p w:rsidR="006D0284" w:rsidRPr="006D0284" w:rsidRDefault="006D0284" w:rsidP="006D0284">
      <w:r w:rsidRPr="006D0284">
        <w:t>Most agricultural land in the Nillumbik Green Wedge is in a broad</w:t>
      </w:r>
      <w:r>
        <w:t xml:space="preserve"> </w:t>
      </w:r>
      <w:r w:rsidRPr="006D0284">
        <w:t xml:space="preserve">band running east-west from Doreen to just east of </w:t>
      </w:r>
      <w:proofErr w:type="spellStart"/>
      <w:r w:rsidRPr="006D0284">
        <w:t>Strathewen</w:t>
      </w:r>
      <w:proofErr w:type="spellEnd"/>
      <w:r w:rsidRPr="006D0284">
        <w:t>. Both</w:t>
      </w:r>
      <w:r>
        <w:t xml:space="preserve"> </w:t>
      </w:r>
      <w:r w:rsidRPr="006D0284">
        <w:t>these areas are categorised in the Nillumbik Land Capability Study</w:t>
      </w:r>
      <w:r>
        <w:t xml:space="preserve"> </w:t>
      </w:r>
      <w:r w:rsidRPr="006D0284">
        <w:t>(Woodward and Clyde 1998) as of average agricultural value and</w:t>
      </w:r>
      <w:r>
        <w:t xml:space="preserve"> </w:t>
      </w:r>
      <w:r w:rsidRPr="006D0284">
        <w:t>comprise some of the shire’s best a</w:t>
      </w:r>
      <w:r>
        <w:t xml:space="preserve">gricultural land. Other smaller </w:t>
      </w:r>
      <w:r w:rsidRPr="006D0284">
        <w:t>areas are in the south-east around Kangaroo Ground – which is the</w:t>
      </w:r>
      <w:r>
        <w:t xml:space="preserve"> </w:t>
      </w:r>
      <w:r w:rsidRPr="006D0284">
        <w:t>shire’s best land but is mostly used for rural residential – and to the</w:t>
      </w:r>
      <w:r>
        <w:t xml:space="preserve"> </w:t>
      </w:r>
      <w:r w:rsidRPr="006D0284">
        <w:t>south-west of Hurstbridge and north-west of Diamond Creek.</w:t>
      </w:r>
    </w:p>
    <w:p w:rsidR="006D0284" w:rsidRPr="006D0284" w:rsidRDefault="006D0284" w:rsidP="006D0284">
      <w:r w:rsidRPr="006D0284">
        <w:t xml:space="preserve">Many existing, traditional farming operations (especially </w:t>
      </w:r>
      <w:proofErr w:type="spellStart"/>
      <w:r w:rsidRPr="006D0284">
        <w:t>broadacre</w:t>
      </w:r>
      <w:proofErr w:type="spellEnd"/>
      <w:r>
        <w:t xml:space="preserve"> </w:t>
      </w:r>
      <w:r w:rsidRPr="006D0284">
        <w:t>farms) are in difficulty for reasons including drought, access to water,</w:t>
      </w:r>
      <w:r>
        <w:t xml:space="preserve"> </w:t>
      </w:r>
      <w:r w:rsidRPr="006D0284">
        <w:t>increased costs of farming, uneconomical farm sizes (i.e. not able to</w:t>
      </w:r>
      <w:r>
        <w:t xml:space="preserve"> </w:t>
      </w:r>
      <w:r w:rsidRPr="006D0284">
        <w:t>increase size). More intensive types of agribusiness appear to be</w:t>
      </w:r>
      <w:r>
        <w:t xml:space="preserve"> </w:t>
      </w:r>
      <w:r w:rsidRPr="006D0284">
        <w:t>performing better particularly grape growing, olive production and fruit</w:t>
      </w:r>
      <w:r>
        <w:t xml:space="preserve"> </w:t>
      </w:r>
      <w:r w:rsidRPr="006D0284">
        <w:t>harvesting. The main finding of the 2010 Outer Suburban/interface</w:t>
      </w:r>
      <w:r>
        <w:t xml:space="preserve"> </w:t>
      </w:r>
      <w:r w:rsidRPr="006D0284">
        <w:t>Services and Development Committee report: Inquiry into sustainable</w:t>
      </w:r>
      <w:r>
        <w:t xml:space="preserve"> </w:t>
      </w:r>
      <w:r w:rsidRPr="006D0284">
        <w:t>development of agribusiness in outer suburban Melbourne is that</w:t>
      </w:r>
      <w:r>
        <w:t xml:space="preserve"> </w:t>
      </w:r>
      <w:r w:rsidRPr="006D0284">
        <w:t>agriculture is one of the best uses of green wedge land. Its report</w:t>
      </w:r>
      <w:r>
        <w:t xml:space="preserve"> </w:t>
      </w:r>
      <w:r w:rsidRPr="006D0284">
        <w:t>concludes that there are a ‘…raft of possibilities for making farming a</w:t>
      </w:r>
      <w:r>
        <w:t xml:space="preserve"> </w:t>
      </w:r>
      <w:r w:rsidRPr="006D0284">
        <w:t>more sustainable and profitable pursuit in green wedges’.</w:t>
      </w:r>
    </w:p>
    <w:p w:rsidR="006D0284" w:rsidRPr="006D0284" w:rsidRDefault="006D0284" w:rsidP="006D0284">
      <w:r w:rsidRPr="006D0284">
        <w:t>A report for Nillumbik Shire Council in</w:t>
      </w:r>
      <w:r>
        <w:t xml:space="preserve"> 2005 (Clark &amp; Associates 2006, </w:t>
      </w:r>
      <w:r w:rsidRPr="006D0284">
        <w:t>p. 19–21) provided an overview of the agricultural sector. It identified a</w:t>
      </w:r>
      <w:r>
        <w:t xml:space="preserve"> </w:t>
      </w:r>
      <w:r w:rsidRPr="006D0284">
        <w:t>number of ‘stand-out’ crops in the shire: tomatoes, apples, pears,</w:t>
      </w:r>
      <w:r>
        <w:t xml:space="preserve"> </w:t>
      </w:r>
      <w:r w:rsidRPr="006D0284">
        <w:t>grapes and nurseries and noted that poultry is 58 per cent of the</w:t>
      </w:r>
      <w:r>
        <w:t xml:space="preserve"> </w:t>
      </w:r>
      <w:r w:rsidRPr="006D0284">
        <w:t>shire’s agricultural production. The report noted that horticulture and</w:t>
      </w:r>
      <w:r>
        <w:t xml:space="preserve"> </w:t>
      </w:r>
      <w:r w:rsidRPr="006D0284">
        <w:t>intensive livestock industries can produce high returns per hectare and</w:t>
      </w:r>
      <w:r>
        <w:t xml:space="preserve"> </w:t>
      </w:r>
      <w:r w:rsidRPr="006D0284">
        <w:t>that these industries have more scope for improvement than</w:t>
      </w:r>
      <w:r>
        <w:t xml:space="preserve"> </w:t>
      </w:r>
      <w:proofErr w:type="spellStart"/>
      <w:r w:rsidRPr="006D0284">
        <w:t>broadacre</w:t>
      </w:r>
      <w:proofErr w:type="spellEnd"/>
      <w:r w:rsidRPr="006D0284">
        <w:t xml:space="preserve"> farming.</w:t>
      </w:r>
    </w:p>
    <w:p w:rsidR="006D0284" w:rsidRPr="006D0284" w:rsidRDefault="006D0284" w:rsidP="006D0284">
      <w:r w:rsidRPr="006D0284">
        <w:t>Woodward-Clyde found that farm viability is not a realistic policy</w:t>
      </w:r>
      <w:r>
        <w:t xml:space="preserve"> </w:t>
      </w:r>
      <w:r w:rsidRPr="006D0284">
        <w:t>expectation in the Nillumbik Green Wedge and that the concept of</w:t>
      </w:r>
      <w:r>
        <w:t xml:space="preserve"> </w:t>
      </w:r>
      <w:r w:rsidRPr="006D0284">
        <w:t>technical viability is more important in this context. This suggests that</w:t>
      </w:r>
      <w:r>
        <w:t xml:space="preserve"> </w:t>
      </w:r>
      <w:r w:rsidRPr="006D0284">
        <w:t>farming can, generally, operate in the Nillumbik Green Wedge only as</w:t>
      </w:r>
      <w:r>
        <w:t xml:space="preserve"> </w:t>
      </w:r>
      <w:r w:rsidRPr="006D0284">
        <w:t>a supplement to non-farm incomes and explains the high incidence of</w:t>
      </w:r>
      <w:r>
        <w:t xml:space="preserve"> </w:t>
      </w:r>
      <w:r w:rsidRPr="006D0284">
        <w:t>part-time and hobby farming. This is borne out by Essential</w:t>
      </w:r>
      <w:r>
        <w:t xml:space="preserve"> </w:t>
      </w:r>
      <w:r w:rsidRPr="006D0284">
        <w:t>Economics’ finding that Agricultural activities in the Nillumbik Green</w:t>
      </w:r>
      <w:r>
        <w:t xml:space="preserve"> </w:t>
      </w:r>
      <w:r w:rsidRPr="006D0284">
        <w:t>Wedge are small scale with low profit margins reflecting the growing</w:t>
      </w:r>
      <w:r>
        <w:t xml:space="preserve"> </w:t>
      </w:r>
      <w:r w:rsidRPr="006D0284">
        <w:t>number of hobby farmers (Essential Economics 2008, pp. 51–53).</w:t>
      </w:r>
    </w:p>
    <w:p w:rsidR="006D0284" w:rsidRPr="006D0284" w:rsidRDefault="006D0284" w:rsidP="006D0284">
      <w:r w:rsidRPr="006D0284">
        <w:t>Stakeholder feedback to a 2008</w:t>
      </w:r>
      <w:r>
        <w:t xml:space="preserve"> Nillumbik Green Wedge business </w:t>
      </w:r>
      <w:r w:rsidRPr="006D0284">
        <w:t>survey indicates that future opportunities for the agricultural sector</w:t>
      </w:r>
      <w:r>
        <w:t xml:space="preserve"> </w:t>
      </w:r>
      <w:r w:rsidRPr="006D0284">
        <w:t>might include farm stays, development of overnight accommodation,</w:t>
      </w:r>
      <w:r>
        <w:t xml:space="preserve"> </w:t>
      </w:r>
      <w:r w:rsidRPr="006D0284">
        <w:t>cottage industries, restaurants, wineries, small scale intensive primary</w:t>
      </w:r>
      <w:r>
        <w:t xml:space="preserve"> </w:t>
      </w:r>
      <w:r w:rsidRPr="006D0284">
        <w:t>production and fresh produce (Essential Economics 2008, p. 7). The</w:t>
      </w:r>
      <w:r>
        <w:t xml:space="preserve"> </w:t>
      </w:r>
      <w:r w:rsidRPr="006D0284">
        <w:t xml:space="preserve">current trend </w:t>
      </w:r>
      <w:r w:rsidRPr="006D0284">
        <w:lastRenderedPageBreak/>
        <w:t>towards locally produced fresh foods is a significant</w:t>
      </w:r>
      <w:r>
        <w:t xml:space="preserve"> </w:t>
      </w:r>
      <w:r w:rsidRPr="006D0284">
        <w:t>opportunity and outlets include farmers markets and, potentially,</w:t>
      </w:r>
      <w:r>
        <w:t xml:space="preserve"> </w:t>
      </w:r>
      <w:r w:rsidRPr="006D0284">
        <w:t>shops in the townships.</w:t>
      </w:r>
    </w:p>
    <w:p w:rsidR="006D0284" w:rsidRPr="006D0284" w:rsidRDefault="006D0284" w:rsidP="006D0284">
      <w:r w:rsidRPr="006D0284">
        <w:t>Recognising farmers as land managers who support conservation can</w:t>
      </w:r>
      <w:r>
        <w:t xml:space="preserve"> </w:t>
      </w:r>
      <w:r w:rsidRPr="006D0284">
        <w:t>also contribute to farm viability. Government funded stewardship</w:t>
      </w:r>
      <w:r>
        <w:t xml:space="preserve"> </w:t>
      </w:r>
      <w:r w:rsidRPr="006D0284">
        <w:t>schemes can make a big difference to landholders and the land.</w:t>
      </w:r>
      <w:r>
        <w:t xml:space="preserve"> </w:t>
      </w:r>
      <w:r w:rsidRPr="006D0284">
        <w:t>Federal and state governments have established small stewardship</w:t>
      </w:r>
      <w:r>
        <w:t xml:space="preserve"> </w:t>
      </w:r>
      <w:r w:rsidRPr="006D0284">
        <w:t>schemes. Examples include Bush Tender in Victoria and the federal</w:t>
      </w:r>
      <w:r>
        <w:t xml:space="preserve"> </w:t>
      </w:r>
      <w:r w:rsidRPr="006D0284">
        <w:t>Environmental Stewardship Programme (ESP).</w:t>
      </w:r>
    </w:p>
    <w:p w:rsidR="006D0284" w:rsidRPr="006D0284" w:rsidRDefault="006D0284" w:rsidP="006D0284">
      <w:r w:rsidRPr="006D0284">
        <w:t>The parliamentary inquiry into su</w:t>
      </w:r>
      <w:r>
        <w:t xml:space="preserve">stainable agribusiness in outer </w:t>
      </w:r>
      <w:r w:rsidRPr="006D0284">
        <w:t>suburban Melbourne views agriculture in green wedges as beneficial</w:t>
      </w:r>
      <w:r>
        <w:t xml:space="preserve"> </w:t>
      </w:r>
      <w:r w:rsidRPr="006D0284">
        <w:t>to the land and the economy. ‘It manages and preserves the</w:t>
      </w:r>
      <w:r>
        <w:t xml:space="preserve"> </w:t>
      </w:r>
      <w:r w:rsidRPr="006D0284">
        <w:t>landscape, supports local jobs and local economies, allows access to</w:t>
      </w:r>
      <w:r>
        <w:t xml:space="preserve"> </w:t>
      </w:r>
      <w:r w:rsidRPr="006D0284">
        <w:t>fresh and healthy food close to consum</w:t>
      </w:r>
      <w:r>
        <w:t xml:space="preserve">ers and holds opportunities for </w:t>
      </w:r>
      <w:r w:rsidRPr="006D0284">
        <w:t>the management and re-use of waste and water’ (Outer</w:t>
      </w:r>
      <w:r>
        <w:t xml:space="preserve"> </w:t>
      </w:r>
      <w:r w:rsidRPr="006D0284">
        <w:t>Suburban/interface Services and Development Committee 2010,</w:t>
      </w:r>
      <w:r>
        <w:t xml:space="preserve"> </w:t>
      </w:r>
      <w:r w:rsidRPr="006D0284">
        <w:t>p. 121).</w:t>
      </w:r>
    </w:p>
    <w:p w:rsidR="006D0284" w:rsidRPr="006D0284" w:rsidRDefault="006D0284" w:rsidP="006D0284">
      <w:pPr>
        <w:pStyle w:val="Heading3"/>
        <w:numPr>
          <w:ilvl w:val="0"/>
          <w:numId w:val="0"/>
        </w:numPr>
        <w:ind w:left="1077" w:hanging="1077"/>
      </w:pPr>
      <w:r w:rsidRPr="006D0284">
        <w:t>Tourism</w:t>
      </w:r>
    </w:p>
    <w:p w:rsidR="006D0284" w:rsidRPr="006D0284" w:rsidRDefault="006D0284" w:rsidP="006D0284">
      <w:r w:rsidRPr="006D0284">
        <w:t>A 2008 survey of 518 businesses8 as part of a study into the</w:t>
      </w:r>
      <w:r>
        <w:t xml:space="preserve"> </w:t>
      </w:r>
      <w:r w:rsidRPr="006D0284">
        <w:t>economics of the Nillumbik Green Wedge, found that businesses</w:t>
      </w:r>
      <w:r>
        <w:t xml:space="preserve"> </w:t>
      </w:r>
      <w:r w:rsidRPr="006D0284">
        <w:t>believe future opportunities are linked to Nillumbik Green Wedge’s</w:t>
      </w:r>
      <w:r>
        <w:t xml:space="preserve"> </w:t>
      </w:r>
      <w:r w:rsidRPr="006D0284">
        <w:t>green and sustainable image. They see future opportunities in the</w:t>
      </w:r>
      <w:r>
        <w:t xml:space="preserve"> </w:t>
      </w:r>
      <w:r w:rsidRPr="006D0284">
        <w:t>accommodation sector; developing cult</w:t>
      </w:r>
      <w:r>
        <w:t xml:space="preserve">ural and arts activities; cafés </w:t>
      </w:r>
      <w:r w:rsidRPr="006D0284">
        <w:t>and wineries and niche retail such as alternative health.</w:t>
      </w:r>
    </w:p>
    <w:p w:rsidR="006D0284" w:rsidRPr="006D0284" w:rsidRDefault="006D0284" w:rsidP="006D0284">
      <w:r w:rsidRPr="006D0284">
        <w:t>Approximately 150 jobs are assoc</w:t>
      </w:r>
      <w:r>
        <w:t xml:space="preserve">iated with accommodation, cafés </w:t>
      </w:r>
      <w:r w:rsidRPr="006D0284">
        <w:t>and restaurants representing 5 per cent of all jobs in the Nillumbik</w:t>
      </w:r>
      <w:r>
        <w:t xml:space="preserve"> </w:t>
      </w:r>
      <w:r w:rsidRPr="006D0284">
        <w:t>Green Wedge.</w:t>
      </w:r>
    </w:p>
    <w:p w:rsidR="006D0284" w:rsidRPr="006D0284" w:rsidRDefault="006D0284" w:rsidP="006D0284">
      <w:pPr>
        <w:pStyle w:val="Heading3"/>
        <w:numPr>
          <w:ilvl w:val="0"/>
          <w:numId w:val="0"/>
        </w:numPr>
        <w:ind w:left="1077" w:hanging="1077"/>
      </w:pPr>
      <w:r w:rsidRPr="006D0284">
        <w:t>Business development</w:t>
      </w:r>
    </w:p>
    <w:p w:rsidR="006D0284" w:rsidRDefault="006D0284" w:rsidP="006D0284">
      <w:r w:rsidRPr="006D0284">
        <w:t>Apart from the significant agricultural activity described above, the</w:t>
      </w:r>
      <w:r>
        <w:t xml:space="preserve"> </w:t>
      </w:r>
      <w:r w:rsidRPr="006D0284">
        <w:t>Nillumbik Green Wedge depends on its townships for services and</w:t>
      </w:r>
      <w:r>
        <w:t xml:space="preserve"> </w:t>
      </w:r>
      <w:r w:rsidRPr="006D0284">
        <w:t>employment. The main drivers for economic growth are perceived as population</w:t>
      </w:r>
      <w:r>
        <w:t xml:space="preserve"> </w:t>
      </w:r>
      <w:r w:rsidRPr="006D0284">
        <w:t>growth; capitalising on the area’s clean and green image; developing</w:t>
      </w:r>
      <w:r>
        <w:t xml:space="preserve"> </w:t>
      </w:r>
      <w:r w:rsidRPr="006D0284">
        <w:t>arts and cultural facilities; more cafés, restaurants and wineries;</w:t>
      </w:r>
      <w:r>
        <w:t xml:space="preserve"> </w:t>
      </w:r>
      <w:r w:rsidRPr="006D0284">
        <w:t>developing niche retailing such as a</w:t>
      </w:r>
      <w:r>
        <w:t xml:space="preserve">lternative health; expansion of </w:t>
      </w:r>
      <w:r w:rsidRPr="006D0284">
        <w:t>home-based businesses and encouraging the development of small</w:t>
      </w:r>
      <w:r>
        <w:t xml:space="preserve"> </w:t>
      </w:r>
      <w:r w:rsidRPr="006D0284">
        <w:t>scale intensive primary production (Essential Economics 2008, p. xii).</w:t>
      </w:r>
    </w:p>
    <w:p w:rsidR="006D0284" w:rsidRDefault="006D0284">
      <w:r>
        <w:br w:type="page"/>
      </w:r>
    </w:p>
    <w:p w:rsidR="006D0284" w:rsidRPr="006D0284" w:rsidRDefault="006D0284" w:rsidP="006D0284">
      <w:pPr>
        <w:pStyle w:val="Heading2"/>
        <w:numPr>
          <w:ilvl w:val="0"/>
          <w:numId w:val="0"/>
        </w:numPr>
        <w:ind w:left="1077" w:hanging="1077"/>
      </w:pPr>
      <w:r w:rsidRPr="006D0284">
        <w:lastRenderedPageBreak/>
        <w:t>Appendix 4 – consultation and advisory groups</w:t>
      </w:r>
    </w:p>
    <w:p w:rsidR="006D0284" w:rsidRPr="006D0284" w:rsidRDefault="006D0284" w:rsidP="006D0284">
      <w:r w:rsidRPr="006D0284">
        <w:t>Throughout the development of the Nillumbik Green Wedge Management Plan</w:t>
      </w:r>
      <w:r>
        <w:t xml:space="preserve"> </w:t>
      </w:r>
      <w:r w:rsidRPr="006D0284">
        <w:t>council sought views from the community and from experts about how best to</w:t>
      </w:r>
      <w:r>
        <w:t xml:space="preserve"> </w:t>
      </w:r>
      <w:r w:rsidRPr="006D0284">
        <w:t>manage the green wedge for the future. The four main stages of the plan’s</w:t>
      </w:r>
      <w:r>
        <w:t xml:space="preserve"> </w:t>
      </w:r>
      <w:r w:rsidRPr="006D0284">
        <w:t>development are explained in section 6 of Part 1and the consultation process is</w:t>
      </w:r>
      <w:r>
        <w:t xml:space="preserve"> </w:t>
      </w:r>
      <w:r w:rsidRPr="006D0284">
        <w:t>summarised in the diagram on the following page.</w:t>
      </w:r>
    </w:p>
    <w:p w:rsidR="006D0284" w:rsidRPr="006D0284" w:rsidRDefault="006D0284" w:rsidP="006D0284">
      <w:r w:rsidRPr="006D0284">
        <w:t>The three key aims for consultation were to:</w:t>
      </w:r>
    </w:p>
    <w:p w:rsidR="006D0284" w:rsidRPr="006D0284" w:rsidRDefault="006D0284" w:rsidP="006D0284">
      <w:pPr>
        <w:pStyle w:val="ListBullet"/>
      </w:pPr>
      <w:r w:rsidRPr="006D0284">
        <w:t>inform, consult, involve and collaborate with the community and stakeholders</w:t>
      </w:r>
    </w:p>
    <w:p w:rsidR="006D0284" w:rsidRPr="006D0284" w:rsidRDefault="006D0284" w:rsidP="006D0284">
      <w:pPr>
        <w:pStyle w:val="ListBullet"/>
      </w:pPr>
      <w:r w:rsidRPr="006D0284">
        <w:t>work in a transparent and mutually supportive way</w:t>
      </w:r>
    </w:p>
    <w:p w:rsidR="006D0284" w:rsidRPr="006D0284" w:rsidRDefault="006D0284" w:rsidP="006D0284">
      <w:pPr>
        <w:pStyle w:val="ListBullet"/>
      </w:pPr>
      <w:r w:rsidRPr="006D0284">
        <w:t>engage with the community and stakeholders to:</w:t>
      </w:r>
    </w:p>
    <w:p w:rsidR="006D0284" w:rsidRPr="006D0284" w:rsidRDefault="006D0284" w:rsidP="006D0284">
      <w:pPr>
        <w:pStyle w:val="ListBullet2"/>
      </w:pPr>
      <w:r w:rsidRPr="006D0284">
        <w:t>identify issues of concern</w:t>
      </w:r>
    </w:p>
    <w:p w:rsidR="006D0284" w:rsidRPr="006D0284" w:rsidRDefault="006D0284" w:rsidP="006D0284">
      <w:pPr>
        <w:pStyle w:val="ListBullet2"/>
      </w:pPr>
      <w:r w:rsidRPr="006D0284">
        <w:t>identify what they value about the green wedge</w:t>
      </w:r>
    </w:p>
    <w:p w:rsidR="006D0284" w:rsidRPr="006D0284" w:rsidRDefault="006D0284" w:rsidP="006D0284">
      <w:pPr>
        <w:pStyle w:val="ListBullet2"/>
      </w:pPr>
      <w:r w:rsidRPr="006D0284">
        <w:t>develop a vision for working towards a sustainable green wedge</w:t>
      </w:r>
    </w:p>
    <w:p w:rsidR="006D0284" w:rsidRDefault="006D0284" w:rsidP="006D0284">
      <w:pPr>
        <w:pStyle w:val="ListBullet2"/>
      </w:pPr>
      <w:proofErr w:type="gramStart"/>
      <w:r w:rsidRPr="006D0284">
        <w:t>develop</w:t>
      </w:r>
      <w:proofErr w:type="gramEnd"/>
      <w:r w:rsidRPr="006D0284">
        <w:t xml:space="preserve"> options for the future Nillumbik Green Wedge a</w:t>
      </w:r>
      <w:r>
        <w:t xml:space="preserve">nd for </w:t>
      </w:r>
      <w:r w:rsidRPr="006D0284">
        <w:t>achieving the vision.</w:t>
      </w:r>
      <w:r>
        <w:t xml:space="preserve"> </w:t>
      </w:r>
    </w:p>
    <w:p w:rsidR="006D0284" w:rsidRPr="006D0284" w:rsidRDefault="006D0284" w:rsidP="006D0284">
      <w:pPr>
        <w:pStyle w:val="ListBullet2"/>
        <w:numPr>
          <w:ilvl w:val="0"/>
          <w:numId w:val="0"/>
        </w:numPr>
      </w:pPr>
      <w:r w:rsidRPr="006D0284">
        <w:t>The process was designed to be transparent. At each stage in the development of</w:t>
      </w:r>
      <w:r>
        <w:t xml:space="preserve"> </w:t>
      </w:r>
      <w:r w:rsidRPr="006D0284">
        <w:t>the GWMP reports were produced and these were publicised through information</w:t>
      </w:r>
      <w:r>
        <w:t xml:space="preserve"> </w:t>
      </w:r>
      <w:r w:rsidRPr="006D0284">
        <w:t>bulletins sent to all ratepayers in the Nillumbik Green Wedge and through mailing</w:t>
      </w:r>
      <w:r>
        <w:t xml:space="preserve"> </w:t>
      </w:r>
      <w:r w:rsidRPr="006D0284">
        <w:t>lists and regular updates in Nillumbik News. The reports provided updates on</w:t>
      </w:r>
      <w:r>
        <w:t xml:space="preserve"> </w:t>
      </w:r>
      <w:r w:rsidRPr="006D0284">
        <w:t>progress and showed how community inputs were being used in creating the GWMP.</w:t>
      </w:r>
      <w:r>
        <w:t xml:space="preserve"> </w:t>
      </w:r>
      <w:r w:rsidRPr="006D0284">
        <w:t>At every stage feedback was sought in order to check if we had heard and</w:t>
      </w:r>
      <w:r>
        <w:t xml:space="preserve"> </w:t>
      </w:r>
      <w:r w:rsidRPr="006D0284">
        <w:t>understood what was being said. Reports were as follows:</w:t>
      </w:r>
    </w:p>
    <w:p w:rsidR="006D0284" w:rsidRPr="006D0284" w:rsidRDefault="006D0284" w:rsidP="006D0284">
      <w:pPr>
        <w:pStyle w:val="ListBullet"/>
      </w:pPr>
      <w:r w:rsidRPr="006D0284">
        <w:t>December 2006, Green Wedge: background paper</w:t>
      </w:r>
    </w:p>
    <w:p w:rsidR="006D0284" w:rsidRPr="006D0284" w:rsidRDefault="006D0284" w:rsidP="006D0284">
      <w:pPr>
        <w:pStyle w:val="ListBullet"/>
      </w:pPr>
      <w:r w:rsidRPr="006D0284">
        <w:t>February 2007, Green Wedge: discussion paper</w:t>
      </w:r>
    </w:p>
    <w:p w:rsidR="006D0284" w:rsidRPr="006D0284" w:rsidRDefault="006D0284" w:rsidP="006D0284">
      <w:pPr>
        <w:pStyle w:val="ListBullet"/>
      </w:pPr>
      <w:r w:rsidRPr="006D0284">
        <w:t>November 2007, Green Wedge values, vision guiding principles</w:t>
      </w:r>
    </w:p>
    <w:p w:rsidR="006D0284" w:rsidRPr="006D0284" w:rsidRDefault="006D0284" w:rsidP="006D0284">
      <w:pPr>
        <w:pStyle w:val="ListBullet"/>
      </w:pPr>
      <w:r w:rsidRPr="006D0284">
        <w:t>March 2008, Green Wedge scenarios paper</w:t>
      </w:r>
    </w:p>
    <w:p w:rsidR="006D0284" w:rsidRPr="006D0284" w:rsidRDefault="006D0284" w:rsidP="006D0284">
      <w:pPr>
        <w:pStyle w:val="ListBullet"/>
      </w:pPr>
      <w:r w:rsidRPr="006D0284">
        <w:t>June 2008, Feedback to scenarios paper.</w:t>
      </w:r>
    </w:p>
    <w:p w:rsidR="006D0284" w:rsidRPr="006D0284" w:rsidRDefault="006D0284" w:rsidP="006D0284">
      <w:pPr>
        <w:pStyle w:val="Heading3"/>
        <w:numPr>
          <w:ilvl w:val="0"/>
          <w:numId w:val="0"/>
        </w:numPr>
        <w:ind w:left="1077" w:hanging="1077"/>
      </w:pPr>
      <w:r w:rsidRPr="006D0284">
        <w:t>A variety of views</w:t>
      </w:r>
    </w:p>
    <w:p w:rsidR="006D0284" w:rsidRPr="006D0284" w:rsidRDefault="006D0284" w:rsidP="006D0284">
      <w:r w:rsidRPr="006D0284">
        <w:t>All community responses from surveys, meetings and workshops have been</w:t>
      </w:r>
      <w:r>
        <w:t xml:space="preserve"> </w:t>
      </w:r>
      <w:r w:rsidRPr="006D0284">
        <w:t>documented, considered and reported at key stages in the plan’s development. The</w:t>
      </w:r>
      <w:r>
        <w:t xml:space="preserve"> </w:t>
      </w:r>
      <w:r w:rsidRPr="006D0284">
        <w:t>Nillumbik community is diverse and this diversity is reflected in the range of views</w:t>
      </w:r>
      <w:r>
        <w:t xml:space="preserve"> </w:t>
      </w:r>
      <w:r w:rsidRPr="006D0284">
        <w:t>expressed, many of which are in opposition to one another. Community input to the</w:t>
      </w:r>
      <w:r>
        <w:t xml:space="preserve"> </w:t>
      </w:r>
      <w:r w:rsidRPr="006D0284">
        <w:t>vision and values stage of the project formed the GWMP vision, the guiding</w:t>
      </w:r>
      <w:r>
        <w:t xml:space="preserve"> </w:t>
      </w:r>
      <w:r w:rsidRPr="006D0284">
        <w:t>principles and the challenges and issues section of the plan.</w:t>
      </w:r>
    </w:p>
    <w:p w:rsidR="006D0284" w:rsidRDefault="006D0284" w:rsidP="006D0284">
      <w:r w:rsidRPr="006D0284">
        <w:t>Council has sought to rely on a strong evidence</w:t>
      </w:r>
      <w:r>
        <w:t xml:space="preserve"> base and a need to balance the </w:t>
      </w:r>
      <w:r w:rsidRPr="006D0284">
        <w:t>environmental, social and economic aims and objectives of the green wedge</w:t>
      </w:r>
      <w:r>
        <w:t xml:space="preserve"> </w:t>
      </w:r>
      <w:r w:rsidRPr="006D0284">
        <w:t>management plan.</w:t>
      </w:r>
    </w:p>
    <w:p w:rsidR="006D0284" w:rsidRDefault="006D0284" w:rsidP="006D0284">
      <w:r>
        <w:rPr>
          <w:noProof/>
          <w:lang w:eastAsia="en-AU"/>
        </w:rPr>
        <w:lastRenderedPageBreak/>
        <w:drawing>
          <wp:inline distT="0" distB="0" distL="0" distR="0">
            <wp:extent cx="5214620" cy="8891905"/>
            <wp:effectExtent l="0" t="0" r="5080" b="4445"/>
            <wp:docPr id="7" name="Picture 7" descr="Project St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ject stag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620" cy="889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284" w:rsidRPr="006D0284" w:rsidRDefault="006D0284" w:rsidP="006D0284">
      <w:pPr>
        <w:pStyle w:val="Heading3"/>
        <w:numPr>
          <w:ilvl w:val="0"/>
          <w:numId w:val="0"/>
        </w:numPr>
        <w:ind w:left="1077" w:hanging="1077"/>
      </w:pPr>
      <w:r w:rsidRPr="006D0284">
        <w:lastRenderedPageBreak/>
        <w:t>Scenarios for the future</w:t>
      </w:r>
    </w:p>
    <w:p w:rsidR="006D0284" w:rsidRDefault="006D0284" w:rsidP="006D0284">
      <w:r w:rsidRPr="006D0284">
        <w:t>Feedback to the Scenarios paper represented a pi</w:t>
      </w:r>
      <w:r>
        <w:t xml:space="preserve">votal point in the consultation </w:t>
      </w:r>
      <w:r w:rsidRPr="006D0284">
        <w:t>process. It drew together the ideas and views coming through consultation into four</w:t>
      </w:r>
      <w:r>
        <w:t xml:space="preserve"> </w:t>
      </w:r>
      <w:r w:rsidRPr="006D0284">
        <w:t>possible futures, or scenarios, for the Nillumbik Green Wedge.</w:t>
      </w:r>
      <w:r>
        <w:t xml:space="preserve"> </w:t>
      </w:r>
    </w:p>
    <w:p w:rsidR="006D0284" w:rsidRPr="006D0284" w:rsidRDefault="006D0284" w:rsidP="006D0284">
      <w:r w:rsidRPr="006D0284">
        <w:t xml:space="preserve">The Scenarios paper was advertised through Green Wedge Bulletin </w:t>
      </w:r>
      <w:r>
        <w:t xml:space="preserve">issue 3, March </w:t>
      </w:r>
      <w:r w:rsidRPr="006D0284">
        <w:t>2008 and a public information session was held at Hurstbridge in June.</w:t>
      </w:r>
    </w:p>
    <w:p w:rsidR="006D0284" w:rsidRPr="006D0284" w:rsidRDefault="006D0284" w:rsidP="006D0284">
      <w:r w:rsidRPr="006D0284">
        <w:t>The four scenarios aimed to provoke discussion abo</w:t>
      </w:r>
      <w:r>
        <w:t xml:space="preserve">ut how a future Nillumbik Green </w:t>
      </w:r>
      <w:r w:rsidRPr="006D0284">
        <w:t>Wedge might look. In addition to environmental protection concerns,</w:t>
      </w:r>
      <w:r>
        <w:t xml:space="preserve"> it asked </w:t>
      </w:r>
      <w:r w:rsidRPr="006D0284">
        <w:t>respondents to consider where people are going to live and work.</w:t>
      </w:r>
    </w:p>
    <w:p w:rsidR="006D0284" w:rsidRPr="006D0284" w:rsidRDefault="006D0284" w:rsidP="006D0284">
      <w:r w:rsidRPr="006D0284">
        <w:t>The scenarios were:</w:t>
      </w:r>
    </w:p>
    <w:p w:rsidR="006D0284" w:rsidRPr="006D0284" w:rsidRDefault="006D0284" w:rsidP="006D0284">
      <w:pPr>
        <w:pStyle w:val="ListNumber2"/>
      </w:pPr>
      <w:r w:rsidRPr="006D0284">
        <w:t>A do-nothing future, where the cumulati</w:t>
      </w:r>
      <w:r>
        <w:t xml:space="preserve">ve impact of small, incremental </w:t>
      </w:r>
      <w:r w:rsidRPr="006D0284">
        <w:t>changes lead to long term impacts on the environment</w:t>
      </w:r>
    </w:p>
    <w:p w:rsidR="006D0284" w:rsidRPr="006D0284" w:rsidRDefault="006D0284" w:rsidP="006D0284">
      <w:pPr>
        <w:pStyle w:val="ListNumber2"/>
      </w:pPr>
      <w:r w:rsidRPr="006D0284">
        <w:t>emphasis on protecting the Nillumbik</w:t>
      </w:r>
      <w:r>
        <w:t xml:space="preserve"> Green Wedge from change as the </w:t>
      </w:r>
      <w:r w:rsidRPr="006D0284">
        <w:t>primary consideration</w:t>
      </w:r>
    </w:p>
    <w:p w:rsidR="006D0284" w:rsidRPr="006D0284" w:rsidRDefault="006D0284" w:rsidP="006D0284">
      <w:pPr>
        <w:pStyle w:val="ListNumber2"/>
      </w:pPr>
      <w:r w:rsidRPr="006D0284">
        <w:t>a positive attitude to developing housing in are</w:t>
      </w:r>
      <w:r>
        <w:t xml:space="preserve">as that are not environmentally </w:t>
      </w:r>
      <w:r w:rsidRPr="006D0284">
        <w:t>sensitive or set aside for particular uses (e.g. agriculture), and investigating</w:t>
      </w:r>
      <w:r>
        <w:t xml:space="preserve"> </w:t>
      </w:r>
      <w:r w:rsidRPr="006D0284">
        <w:t>the creation of new ‘hamlets’ or small towns</w:t>
      </w:r>
    </w:p>
    <w:p w:rsidR="006D0284" w:rsidRPr="006D0284" w:rsidRDefault="006D0284" w:rsidP="006D0284">
      <w:pPr>
        <w:pStyle w:val="ListNumber2"/>
      </w:pPr>
      <w:proofErr w:type="gramStart"/>
      <w:r w:rsidRPr="006D0284">
        <w:t>a</w:t>
      </w:r>
      <w:proofErr w:type="gramEnd"/>
      <w:r w:rsidRPr="006D0284">
        <w:t xml:space="preserve"> conservation model based on the UK’s nat</w:t>
      </w:r>
      <w:r>
        <w:t xml:space="preserve">ional parks and involving a new </w:t>
      </w:r>
      <w:r w:rsidRPr="006D0284">
        <w:t>governance framework. This manages the Nillumbik Green Wedge at a</w:t>
      </w:r>
      <w:r>
        <w:t xml:space="preserve"> </w:t>
      </w:r>
      <w:r w:rsidRPr="006D0284">
        <w:t>landscape scale for conservation and promotes people’s enjoyment of the</w:t>
      </w:r>
      <w:r>
        <w:t xml:space="preserve"> </w:t>
      </w:r>
      <w:r w:rsidRPr="006D0284">
        <w:t>Nillumbik Green Wedge.</w:t>
      </w:r>
    </w:p>
    <w:p w:rsidR="006D0284" w:rsidRPr="006D0284" w:rsidRDefault="006D0284" w:rsidP="006D0284">
      <w:r w:rsidRPr="006D0284">
        <w:t>Community feedback to the Scenarios paper produced consensus on key issues for</w:t>
      </w:r>
      <w:r>
        <w:t xml:space="preserve"> </w:t>
      </w:r>
      <w:r w:rsidRPr="006D0284">
        <w:t>the GWMP as well as a range of divergent views.</w:t>
      </w:r>
    </w:p>
    <w:p w:rsidR="006D0284" w:rsidRPr="006D0284" w:rsidRDefault="006D0284" w:rsidP="006D0284">
      <w:pPr>
        <w:rPr>
          <w:b/>
        </w:rPr>
      </w:pPr>
      <w:r w:rsidRPr="006D0284">
        <w:rPr>
          <w:b/>
        </w:rPr>
        <w:t>Consensus</w:t>
      </w:r>
    </w:p>
    <w:p w:rsidR="006D0284" w:rsidRPr="006D0284" w:rsidRDefault="006D0284" w:rsidP="006D0284">
      <w:r w:rsidRPr="006D0284">
        <w:t>There is broad agreement on the following.</w:t>
      </w:r>
    </w:p>
    <w:p w:rsidR="006D0284" w:rsidRPr="006D0284" w:rsidRDefault="006D0284" w:rsidP="006D0284">
      <w:pPr>
        <w:pStyle w:val="ListNumber"/>
        <w:numPr>
          <w:ilvl w:val="6"/>
          <w:numId w:val="34"/>
        </w:numPr>
      </w:pPr>
      <w:r w:rsidRPr="006D0284">
        <w:t>Protecting the environment is the most import</w:t>
      </w:r>
      <w:r>
        <w:t xml:space="preserve">ant factor for the Nillumbik </w:t>
      </w:r>
      <w:r w:rsidRPr="006D0284">
        <w:t>Green Wedge. Where people differ is in the extent of protection required.</w:t>
      </w:r>
    </w:p>
    <w:p w:rsidR="006D0284" w:rsidRPr="006D0284" w:rsidRDefault="006D0284" w:rsidP="006D0284">
      <w:pPr>
        <w:pStyle w:val="ListNumber"/>
      </w:pPr>
      <w:r w:rsidRPr="006D0284">
        <w:t>Move away from one-size-fits-all policies</w:t>
      </w:r>
      <w:r>
        <w:t xml:space="preserve">: systematically determine what </w:t>
      </w:r>
      <w:r w:rsidRPr="006D0284">
        <w:t>needs protecting (and what does not) and look after it through planning</w:t>
      </w:r>
      <w:r>
        <w:t xml:space="preserve"> </w:t>
      </w:r>
      <w:r w:rsidRPr="006D0284">
        <w:t>controls, enforcement and education.</w:t>
      </w:r>
    </w:p>
    <w:p w:rsidR="006D0284" w:rsidRPr="006D0284" w:rsidRDefault="006D0284" w:rsidP="006D0284">
      <w:pPr>
        <w:pStyle w:val="ListNumber"/>
      </w:pPr>
      <w:r w:rsidRPr="006D0284">
        <w:t>Support landholders to look after the Nill</w:t>
      </w:r>
      <w:r>
        <w:t xml:space="preserve">umbik Green Wedge and recognise </w:t>
      </w:r>
      <w:r w:rsidRPr="006D0284">
        <w:t>that bushfire is a huge risk.</w:t>
      </w:r>
    </w:p>
    <w:p w:rsidR="006D0284" w:rsidRPr="006D0284" w:rsidRDefault="006D0284" w:rsidP="006D0284">
      <w:pPr>
        <w:pStyle w:val="ListNumber"/>
      </w:pPr>
      <w:r w:rsidRPr="006D0284">
        <w:t>Living in the Nillumbik Green Wedge is differe</w:t>
      </w:r>
      <w:r>
        <w:t xml:space="preserve">nt. Urban or suburban levels of </w:t>
      </w:r>
      <w:r w:rsidRPr="006D0284">
        <w:t>infrastructure will not necessarily be available or appropriate in isolated rural</w:t>
      </w:r>
      <w:r>
        <w:t xml:space="preserve"> </w:t>
      </w:r>
      <w:r w:rsidRPr="006D0284">
        <w:t>areas.</w:t>
      </w:r>
    </w:p>
    <w:p w:rsidR="006D0284" w:rsidRPr="006D0284" w:rsidRDefault="006D0284" w:rsidP="006D0284">
      <w:pPr>
        <w:pStyle w:val="ListNumber"/>
      </w:pPr>
      <w:r w:rsidRPr="006D0284">
        <w:t>Emphasis should be placed on sustainable and renewable energy.</w:t>
      </w:r>
    </w:p>
    <w:p w:rsidR="006D0284" w:rsidRPr="006D0284" w:rsidRDefault="006D0284" w:rsidP="006D0284">
      <w:pPr>
        <w:pStyle w:val="ListNumber"/>
      </w:pPr>
      <w:r w:rsidRPr="006D0284">
        <w:t>A circular public transport service linking Nil</w:t>
      </w:r>
      <w:r>
        <w:t xml:space="preserve">lumbik Green Wedge townships is </w:t>
      </w:r>
      <w:r w:rsidRPr="006D0284">
        <w:t>needed.</w:t>
      </w:r>
    </w:p>
    <w:p w:rsidR="006D0284" w:rsidRPr="006D0284" w:rsidRDefault="006D0284" w:rsidP="006D0284">
      <w:pPr>
        <w:pStyle w:val="ListNumber"/>
      </w:pPr>
      <w:r w:rsidRPr="006D0284">
        <w:lastRenderedPageBreak/>
        <w:t>Nillumbik has a great opportunity to be a leader in passive recreation; the</w:t>
      </w:r>
      <w:r>
        <w:t xml:space="preserve"> </w:t>
      </w:r>
      <w:r w:rsidRPr="006D0284">
        <w:t>impact of demand from neighbouring municipalities has to be factored in.</w:t>
      </w:r>
    </w:p>
    <w:p w:rsidR="006D0284" w:rsidRDefault="006D0284" w:rsidP="006D0284">
      <w:pPr>
        <w:pStyle w:val="ListNumber"/>
      </w:pPr>
      <w:r w:rsidRPr="006D0284">
        <w:t>Farming is of great value to the Ni</w:t>
      </w:r>
      <w:r>
        <w:t xml:space="preserve">llumbik Green Wedge in terms of </w:t>
      </w:r>
      <w:r w:rsidRPr="006D0284">
        <w:t xml:space="preserve">landscape, environmental and economic benefits. Farming is not </w:t>
      </w:r>
      <w:proofErr w:type="spellStart"/>
      <w:r w:rsidRPr="006D0284">
        <w:t>selfsufficient</w:t>
      </w:r>
      <w:proofErr w:type="spellEnd"/>
      <w:r>
        <w:t xml:space="preserve"> </w:t>
      </w:r>
      <w:r w:rsidRPr="006D0284">
        <w:t>and farmers need to be supported through policy and in practical</w:t>
      </w:r>
      <w:r>
        <w:t xml:space="preserve"> </w:t>
      </w:r>
      <w:r w:rsidRPr="006D0284">
        <w:t>ways (similar to the type of support given to farmers in Europe), to retain</w:t>
      </w:r>
      <w:r>
        <w:t xml:space="preserve"> </w:t>
      </w:r>
      <w:r w:rsidRPr="006D0284">
        <w:t>agricultural land for future food production.</w:t>
      </w:r>
    </w:p>
    <w:p w:rsidR="006D0284" w:rsidRPr="006D0284" w:rsidRDefault="006D0284" w:rsidP="000F5F7B">
      <w:pPr>
        <w:pStyle w:val="ListNumber"/>
      </w:pPr>
      <w:r w:rsidRPr="006D0284">
        <w:t>Well planned and low impact tourism is a good thing and an opportunity for</w:t>
      </w:r>
      <w:r w:rsidR="000F5F7B">
        <w:t xml:space="preserve"> </w:t>
      </w:r>
      <w:r w:rsidRPr="006D0284">
        <w:t>Nillumbik.</w:t>
      </w:r>
    </w:p>
    <w:p w:rsidR="006D0284" w:rsidRPr="006D0284" w:rsidRDefault="006D0284" w:rsidP="000F5F7B">
      <w:pPr>
        <w:pStyle w:val="ListNumber"/>
      </w:pPr>
      <w:r w:rsidRPr="006D0284">
        <w:t>How council will fund the management of</w:t>
      </w:r>
      <w:r w:rsidR="000F5F7B">
        <w:t xml:space="preserve"> the Nillumbik Green Wedge is a </w:t>
      </w:r>
      <w:r w:rsidRPr="006D0284">
        <w:t>central issue which has to be addressed.</w:t>
      </w:r>
    </w:p>
    <w:p w:rsidR="006D0284" w:rsidRPr="006D0284" w:rsidRDefault="006D0284" w:rsidP="000F5F7B">
      <w:pPr>
        <w:pStyle w:val="Heading3"/>
        <w:numPr>
          <w:ilvl w:val="0"/>
          <w:numId w:val="0"/>
        </w:numPr>
        <w:ind w:left="1077" w:hanging="1077"/>
      </w:pPr>
      <w:r w:rsidRPr="006D0284">
        <w:t>Differences and finding a middle way</w:t>
      </w:r>
    </w:p>
    <w:p w:rsidR="006D0284" w:rsidRPr="006D0284" w:rsidRDefault="006D0284" w:rsidP="006D0284">
      <w:r w:rsidRPr="006D0284">
        <w:t>Differences of opinion exist in the following areas although, frequently, there is a</w:t>
      </w:r>
      <w:r w:rsidR="000F5F7B">
        <w:t xml:space="preserve"> </w:t>
      </w:r>
      <w:r w:rsidRPr="006D0284">
        <w:t>middle way articulated by community members. Where this is the case, it is also</w:t>
      </w:r>
      <w:r w:rsidR="000F5F7B">
        <w:t xml:space="preserve"> </w:t>
      </w:r>
      <w:r w:rsidRPr="006D0284">
        <w:t>recorded below.</w:t>
      </w:r>
    </w:p>
    <w:p w:rsidR="006D0284" w:rsidRPr="000F5F7B" w:rsidRDefault="006D0284" w:rsidP="006D0284">
      <w:pPr>
        <w:rPr>
          <w:b/>
        </w:rPr>
      </w:pPr>
      <w:r w:rsidRPr="000F5F7B">
        <w:rPr>
          <w:b/>
        </w:rPr>
        <w:t>The extent of protection for the environment</w:t>
      </w:r>
    </w:p>
    <w:p w:rsidR="006D0284" w:rsidRPr="006D0284" w:rsidRDefault="006D0284" w:rsidP="006D0284">
      <w:r w:rsidRPr="006D0284">
        <w:t>One perspective is to tighten controls and enforcement; the opposite is that too many</w:t>
      </w:r>
      <w:r w:rsidR="000F5F7B">
        <w:t xml:space="preserve"> </w:t>
      </w:r>
      <w:r w:rsidRPr="006D0284">
        <w:t>controls infringe people’s property rights.</w:t>
      </w:r>
    </w:p>
    <w:p w:rsidR="006D0284" w:rsidRPr="006D0284" w:rsidRDefault="006D0284" w:rsidP="006D0284">
      <w:r w:rsidRPr="006D0284">
        <w:t>The middle way perspective is that a balance betwe</w:t>
      </w:r>
      <w:r w:rsidR="000F5F7B">
        <w:t xml:space="preserve">en environmental protection and </w:t>
      </w:r>
      <w:r w:rsidRPr="006D0284">
        <w:t>the enjoyment of residents is needed, that change is inevitable and how we manage</w:t>
      </w:r>
      <w:r w:rsidR="000F5F7B">
        <w:t xml:space="preserve"> </w:t>
      </w:r>
      <w:r w:rsidRPr="006D0284">
        <w:t>that change is important. This perspective recognises that Nillumbik Green Wedge</w:t>
      </w:r>
      <w:r w:rsidR="000F5F7B">
        <w:t xml:space="preserve"> </w:t>
      </w:r>
      <w:r w:rsidRPr="006D0284">
        <w:t>land should not be viewed as speculative land, for development one piece at a time,</w:t>
      </w:r>
      <w:r w:rsidR="000F5F7B">
        <w:t xml:space="preserve"> </w:t>
      </w:r>
      <w:r w:rsidRPr="006D0284">
        <w:t>but neither should we drive a heavy-handed environmental agenda at the expense of</w:t>
      </w:r>
      <w:r w:rsidR="000F5F7B">
        <w:t xml:space="preserve"> </w:t>
      </w:r>
      <w:r w:rsidRPr="006D0284">
        <w:t>enjoyment. Tourism, business and the need to have somewhere to live are all</w:t>
      </w:r>
      <w:r w:rsidR="000F5F7B">
        <w:t xml:space="preserve"> </w:t>
      </w:r>
      <w:r w:rsidRPr="006D0284">
        <w:t>important. This perspective wants council to find a way to allow both conservation</w:t>
      </w:r>
      <w:r w:rsidR="000F5F7B">
        <w:t xml:space="preserve"> </w:t>
      </w:r>
      <w:r w:rsidRPr="006D0284">
        <w:t>and use; to protect the environment but balance this with some carefully managed</w:t>
      </w:r>
      <w:r w:rsidR="000F5F7B">
        <w:t xml:space="preserve"> </w:t>
      </w:r>
      <w:r w:rsidRPr="006D0284">
        <w:t>development so that all sectors of the population can benefit.</w:t>
      </w:r>
    </w:p>
    <w:p w:rsidR="006D0284" w:rsidRPr="000F5F7B" w:rsidRDefault="006D0284" w:rsidP="006D0284">
      <w:pPr>
        <w:rPr>
          <w:b/>
        </w:rPr>
      </w:pPr>
      <w:r w:rsidRPr="000F5F7B">
        <w:rPr>
          <w:b/>
        </w:rPr>
        <w:t>Where will housing go?</w:t>
      </w:r>
    </w:p>
    <w:p w:rsidR="006D0284" w:rsidRPr="006D0284" w:rsidRDefault="006D0284" w:rsidP="006D0284">
      <w:r w:rsidRPr="006D0284">
        <w:t>Some in the community want more development in the Nillumbik Green Wedge and</w:t>
      </w:r>
      <w:r w:rsidR="000F5F7B">
        <w:t xml:space="preserve"> </w:t>
      </w:r>
      <w:r w:rsidRPr="006D0284">
        <w:t>another second group is opposed to it.</w:t>
      </w:r>
    </w:p>
    <w:p w:rsidR="006D0284" w:rsidRPr="006D0284" w:rsidRDefault="006D0284" w:rsidP="006D0284">
      <w:r w:rsidRPr="006D0284">
        <w:t>A third perspective is that we have to move away fro</w:t>
      </w:r>
      <w:r w:rsidR="000F5F7B">
        <w:t xml:space="preserve">m the view that conservation is </w:t>
      </w:r>
      <w:r w:rsidRPr="006D0284">
        <w:t>‘good’ and use ‘bad’ and have a balance between environmental conservation and</w:t>
      </w:r>
      <w:r w:rsidR="000F5F7B">
        <w:t xml:space="preserve"> </w:t>
      </w:r>
      <w:r w:rsidRPr="006D0284">
        <w:t>social and economic sustainability, including housing opportunities.</w:t>
      </w:r>
    </w:p>
    <w:p w:rsidR="006D0284" w:rsidRPr="000F5F7B" w:rsidRDefault="006D0284" w:rsidP="006D0284">
      <w:pPr>
        <w:rPr>
          <w:b/>
        </w:rPr>
      </w:pPr>
      <w:r w:rsidRPr="000F5F7B">
        <w:rPr>
          <w:b/>
        </w:rPr>
        <w:t>Commercial development</w:t>
      </w:r>
    </w:p>
    <w:p w:rsidR="006D0284" w:rsidRPr="006D0284" w:rsidRDefault="006D0284" w:rsidP="006D0284">
      <w:r w:rsidRPr="006D0284">
        <w:t>One view has it that there should be no commerci</w:t>
      </w:r>
      <w:r w:rsidR="000F5F7B">
        <w:t xml:space="preserve">al development in the Nillumbik </w:t>
      </w:r>
      <w:r w:rsidRPr="006D0284">
        <w:t>Green Wedge and that council should place emphasis on improving existing areas of</w:t>
      </w:r>
      <w:r w:rsidR="000F5F7B">
        <w:t xml:space="preserve"> </w:t>
      </w:r>
      <w:r w:rsidRPr="006D0284">
        <w:t>business rather than creating new ones. This is tempered by the view that identifying</w:t>
      </w:r>
      <w:r w:rsidR="000F5F7B">
        <w:t xml:space="preserve"> </w:t>
      </w:r>
      <w:r w:rsidRPr="006D0284">
        <w:t>and then actively encouraging, the types of business we want in the Nillumbik Green</w:t>
      </w:r>
      <w:r w:rsidR="000F5F7B">
        <w:t xml:space="preserve"> </w:t>
      </w:r>
      <w:r w:rsidRPr="006D0284">
        <w:t xml:space="preserve">Wedge is the way ahead. Examples are tourism, home-based business and </w:t>
      </w:r>
      <w:proofErr w:type="spellStart"/>
      <w:r w:rsidRPr="006D0284">
        <w:t>agedcare</w:t>
      </w:r>
      <w:proofErr w:type="spellEnd"/>
      <w:r w:rsidR="000F5F7B">
        <w:t xml:space="preserve"> </w:t>
      </w:r>
      <w:r w:rsidRPr="006D0284">
        <w:t>support.</w:t>
      </w:r>
    </w:p>
    <w:p w:rsidR="006D0284" w:rsidRPr="000F5F7B" w:rsidRDefault="006D0284" w:rsidP="006D0284">
      <w:pPr>
        <w:rPr>
          <w:b/>
        </w:rPr>
      </w:pPr>
      <w:r w:rsidRPr="000F5F7B">
        <w:rPr>
          <w:b/>
        </w:rPr>
        <w:t>Funding the management of the green wedge</w:t>
      </w:r>
    </w:p>
    <w:p w:rsidR="006D0284" w:rsidRDefault="006D0284" w:rsidP="000F5F7B">
      <w:r w:rsidRPr="006D0284">
        <w:lastRenderedPageBreak/>
        <w:t>While there is agreement that council’s inability to adequately fund management of</w:t>
      </w:r>
      <w:r w:rsidR="000F5F7B">
        <w:t xml:space="preserve"> </w:t>
      </w:r>
      <w:r w:rsidRPr="006D0284">
        <w:t>the green wedge is a central issue, views on how to raise the funds differ. One view</w:t>
      </w:r>
      <w:r w:rsidR="000F5F7B">
        <w:t xml:space="preserve"> </w:t>
      </w:r>
      <w:r w:rsidRPr="006D0284">
        <w:t>is to extend the rates base through more housing. The other is to seek funding from</w:t>
      </w:r>
      <w:r w:rsidR="000F5F7B">
        <w:t xml:space="preserve"> </w:t>
      </w:r>
      <w:r w:rsidRPr="006D0284">
        <w:t>state and federal governments. Council is already addressing this issue with other</w:t>
      </w:r>
      <w:r w:rsidR="000F5F7B">
        <w:t xml:space="preserve"> </w:t>
      </w:r>
      <w:r w:rsidRPr="006D0284">
        <w:t>green wedge councils.</w:t>
      </w:r>
    </w:p>
    <w:p w:rsidR="000F5F7B" w:rsidRPr="000F5F7B" w:rsidRDefault="000F5F7B" w:rsidP="000F5F7B">
      <w:pPr>
        <w:pStyle w:val="Heading2"/>
        <w:numPr>
          <w:ilvl w:val="0"/>
          <w:numId w:val="0"/>
        </w:numPr>
        <w:ind w:left="1077" w:hanging="1077"/>
      </w:pPr>
      <w:r w:rsidRPr="000F5F7B">
        <w:t>Advisory Groups</w:t>
      </w:r>
    </w:p>
    <w:p w:rsidR="000F5F7B" w:rsidRPr="000F5F7B" w:rsidRDefault="000F5F7B" w:rsidP="000F5F7B">
      <w:r w:rsidRPr="000F5F7B">
        <w:t>Broad community input was essential to the development of a GWMP. Just as</w:t>
      </w:r>
      <w:r>
        <w:t xml:space="preserve"> </w:t>
      </w:r>
      <w:r w:rsidRPr="000F5F7B">
        <w:t>important was the contribution of the advisory groups, who drove and shaped the</w:t>
      </w:r>
      <w:r>
        <w:t xml:space="preserve"> </w:t>
      </w:r>
      <w:r w:rsidRPr="000F5F7B">
        <w:t>development. Below is a list of the people and organisations that provided expert</w:t>
      </w:r>
      <w:r>
        <w:t xml:space="preserve"> </w:t>
      </w:r>
      <w:r w:rsidRPr="000F5F7B">
        <w:t>advice.</w:t>
      </w:r>
    </w:p>
    <w:p w:rsidR="000F5F7B" w:rsidRPr="000F5F7B" w:rsidRDefault="000F5F7B" w:rsidP="000F5F7B">
      <w:pPr>
        <w:pStyle w:val="Heading3"/>
        <w:numPr>
          <w:ilvl w:val="0"/>
          <w:numId w:val="0"/>
        </w:numPr>
        <w:ind w:left="1077" w:hanging="1077"/>
      </w:pPr>
      <w:r w:rsidRPr="000F5F7B">
        <w:t>Council officers</w:t>
      </w:r>
    </w:p>
    <w:p w:rsidR="000F5F7B" w:rsidRPr="000F5F7B" w:rsidRDefault="000F5F7B" w:rsidP="000F5F7B">
      <w:r w:rsidRPr="000F5F7B">
        <w:t>Jackie Donkin, Senior Strategic Planner</w:t>
      </w:r>
    </w:p>
    <w:p w:rsidR="000F5F7B" w:rsidRPr="000F5F7B" w:rsidRDefault="000F5F7B" w:rsidP="000F5F7B">
      <w:r w:rsidRPr="000F5F7B">
        <w:t>Margaret Abbey, Group Manager Environment and Planning Services (until June</w:t>
      </w:r>
      <w:r>
        <w:t xml:space="preserve"> </w:t>
      </w:r>
      <w:r w:rsidRPr="000F5F7B">
        <w:t>2010)</w:t>
      </w:r>
    </w:p>
    <w:p w:rsidR="000F5F7B" w:rsidRPr="000F5F7B" w:rsidRDefault="000F5F7B" w:rsidP="000F5F7B">
      <w:r w:rsidRPr="000F5F7B">
        <w:t>Chad Griffiths, Coordinator Strategic Planning</w:t>
      </w:r>
    </w:p>
    <w:p w:rsidR="000F5F7B" w:rsidRPr="000F5F7B" w:rsidRDefault="000F5F7B" w:rsidP="000F5F7B">
      <w:r w:rsidRPr="000F5F7B">
        <w:t>Pat Vaughan, Manager Environment and Strategic Planning (from July 2008), Rachel</w:t>
      </w:r>
      <w:r>
        <w:t xml:space="preserve"> </w:t>
      </w:r>
      <w:r w:rsidRPr="000F5F7B">
        <w:t>Haynes, (until March 2008)</w:t>
      </w:r>
    </w:p>
    <w:p w:rsidR="000F5F7B" w:rsidRPr="000F5F7B" w:rsidRDefault="000F5F7B" w:rsidP="000F5F7B">
      <w:r w:rsidRPr="000F5F7B">
        <w:t>Andrew Port, Group Manager Corporate Services (</w:t>
      </w:r>
      <w:r>
        <w:t xml:space="preserve">from December 2007) Ron </w:t>
      </w:r>
      <w:proofErr w:type="spellStart"/>
      <w:r>
        <w:t>Exiner</w:t>
      </w:r>
      <w:proofErr w:type="spellEnd"/>
      <w:r>
        <w:t xml:space="preserve">, </w:t>
      </w:r>
      <w:r w:rsidRPr="000F5F7B">
        <w:t>(until December 2007)</w:t>
      </w:r>
    </w:p>
    <w:p w:rsidR="000F5F7B" w:rsidRPr="000F5F7B" w:rsidRDefault="000F5F7B" w:rsidP="000F5F7B">
      <w:r w:rsidRPr="000F5F7B">
        <w:t>Paul Fyffe, Strategic Planner</w:t>
      </w:r>
    </w:p>
    <w:p w:rsidR="000F5F7B" w:rsidRPr="000F5F7B" w:rsidRDefault="000F5F7B" w:rsidP="000F5F7B">
      <w:pPr>
        <w:pStyle w:val="Heading3"/>
        <w:numPr>
          <w:ilvl w:val="0"/>
          <w:numId w:val="0"/>
        </w:numPr>
        <w:ind w:left="1077" w:hanging="1077"/>
      </w:pPr>
      <w:r w:rsidRPr="000F5F7B">
        <w:t>Officer Technical Working Group</w:t>
      </w:r>
    </w:p>
    <w:p w:rsidR="000F5F7B" w:rsidRPr="000F5F7B" w:rsidRDefault="000F5F7B" w:rsidP="000F5F7B">
      <w:r w:rsidRPr="000F5F7B">
        <w:t>Adrian Cully, Manager Social &amp; Cultural Development</w:t>
      </w:r>
    </w:p>
    <w:p w:rsidR="000F5F7B" w:rsidRPr="000F5F7B" w:rsidRDefault="000F5F7B" w:rsidP="000F5F7B">
      <w:r w:rsidRPr="000F5F7B">
        <w:t>Darren Bennett, Manager Leisure Services</w:t>
      </w:r>
    </w:p>
    <w:p w:rsidR="000F5F7B" w:rsidRPr="000F5F7B" w:rsidRDefault="000F5F7B" w:rsidP="000F5F7B">
      <w:r w:rsidRPr="000F5F7B">
        <w:t xml:space="preserve">Tara </w:t>
      </w:r>
      <w:proofErr w:type="spellStart"/>
      <w:r w:rsidRPr="000F5F7B">
        <w:t>Frichitthavong</w:t>
      </w:r>
      <w:proofErr w:type="spellEnd"/>
      <w:r w:rsidRPr="000F5F7B">
        <w:t>, Manager Community Services</w:t>
      </w:r>
    </w:p>
    <w:p w:rsidR="000F5F7B" w:rsidRPr="000F5F7B" w:rsidRDefault="000F5F7B" w:rsidP="000F5F7B">
      <w:r w:rsidRPr="000F5F7B">
        <w:t>Jon Miller, Coordinator, Environmental Works (to October 2008)</w:t>
      </w:r>
    </w:p>
    <w:p w:rsidR="000F5F7B" w:rsidRPr="000F5F7B" w:rsidRDefault="000F5F7B" w:rsidP="000F5F7B">
      <w:r w:rsidRPr="000F5F7B">
        <w:t>Julie French, Tourism &amp; Business Development Coordinator</w:t>
      </w:r>
    </w:p>
    <w:p w:rsidR="000F5F7B" w:rsidRPr="000F5F7B" w:rsidRDefault="000F5F7B" w:rsidP="000F5F7B">
      <w:r w:rsidRPr="000F5F7B">
        <w:t>Donna Stoddart, Coordinator, Environmental Planning</w:t>
      </w:r>
    </w:p>
    <w:p w:rsidR="000F5F7B" w:rsidRPr="000F5F7B" w:rsidRDefault="000F5F7B" w:rsidP="000F5F7B">
      <w:r w:rsidRPr="000F5F7B">
        <w:t>Robert Szymanski, Team Leader, Planning (to June 2008)</w:t>
      </w:r>
    </w:p>
    <w:p w:rsidR="000F5F7B" w:rsidRPr="000F5F7B" w:rsidRDefault="000F5F7B" w:rsidP="000F5F7B">
      <w:r w:rsidRPr="000F5F7B">
        <w:t>Stuart Caldwell, Manager Planning &amp; Building (to July 2008)</w:t>
      </w:r>
    </w:p>
    <w:p w:rsidR="000F5F7B" w:rsidRPr="000F5F7B" w:rsidRDefault="000F5F7B" w:rsidP="000F5F7B">
      <w:r w:rsidRPr="000F5F7B">
        <w:t>Jacqui Hansen, Team Leader, Planning (to July 2008)</w:t>
      </w:r>
    </w:p>
    <w:p w:rsidR="000F5F7B" w:rsidRPr="000F5F7B" w:rsidRDefault="000F5F7B" w:rsidP="000F5F7B">
      <w:r w:rsidRPr="000F5F7B">
        <w:t>Jeremy Livingston, Coordinator, Planning</w:t>
      </w:r>
    </w:p>
    <w:p w:rsidR="000F5F7B" w:rsidRPr="000F5F7B" w:rsidRDefault="000F5F7B" w:rsidP="000F5F7B">
      <w:r w:rsidRPr="000F5F7B">
        <w:t>Tom Young, Manager Infrastructure Development (to December 2008)</w:t>
      </w:r>
    </w:p>
    <w:p w:rsidR="000F5F7B" w:rsidRPr="000F5F7B" w:rsidRDefault="000F5F7B" w:rsidP="000F5F7B">
      <w:pPr>
        <w:pStyle w:val="Heading3"/>
        <w:numPr>
          <w:ilvl w:val="0"/>
          <w:numId w:val="0"/>
        </w:numPr>
        <w:ind w:left="1077" w:hanging="1077"/>
      </w:pPr>
      <w:r w:rsidRPr="000F5F7B">
        <w:t>Community Advisory Group for the Green Wedge comprising the following</w:t>
      </w:r>
    </w:p>
    <w:p w:rsidR="000F5F7B" w:rsidRPr="000F5F7B" w:rsidRDefault="000F5F7B" w:rsidP="000F5F7B">
      <w:pPr>
        <w:rPr>
          <w:b/>
        </w:rPr>
      </w:pPr>
      <w:r w:rsidRPr="000F5F7B">
        <w:rPr>
          <w:b/>
        </w:rPr>
        <w:t>Council committees</w:t>
      </w:r>
    </w:p>
    <w:p w:rsidR="000F5F7B" w:rsidRPr="000F5F7B" w:rsidRDefault="000F5F7B" w:rsidP="000F5F7B">
      <w:r w:rsidRPr="000F5F7B">
        <w:t>Environmental Advisory Committee Member – David Nicholls</w:t>
      </w:r>
    </w:p>
    <w:p w:rsidR="000F5F7B" w:rsidRPr="000F5F7B" w:rsidRDefault="000F5F7B" w:rsidP="000F5F7B">
      <w:r w:rsidRPr="000F5F7B">
        <w:lastRenderedPageBreak/>
        <w:t>Recreation Trails Committee Member – Sharon Banner</w:t>
      </w:r>
    </w:p>
    <w:p w:rsidR="000F5F7B" w:rsidRPr="000F5F7B" w:rsidRDefault="000F5F7B" w:rsidP="000F5F7B">
      <w:r w:rsidRPr="000F5F7B">
        <w:t xml:space="preserve">Culture and Arts Advisory Committee Member – </w:t>
      </w:r>
      <w:proofErr w:type="spellStart"/>
      <w:r w:rsidRPr="000F5F7B">
        <w:t>Jenni</w:t>
      </w:r>
      <w:proofErr w:type="spellEnd"/>
      <w:r w:rsidRPr="000F5F7B">
        <w:t xml:space="preserve"> Mitchell (until March 2007)</w:t>
      </w:r>
    </w:p>
    <w:p w:rsidR="000F5F7B" w:rsidRPr="000F5F7B" w:rsidRDefault="000F5F7B" w:rsidP="000F5F7B">
      <w:pPr>
        <w:rPr>
          <w:b/>
        </w:rPr>
      </w:pPr>
      <w:r w:rsidRPr="000F5F7B">
        <w:rPr>
          <w:b/>
        </w:rPr>
        <w:t>Community groups</w:t>
      </w:r>
    </w:p>
    <w:p w:rsidR="000F5F7B" w:rsidRPr="000F5F7B" w:rsidRDefault="000F5F7B" w:rsidP="000F5F7B">
      <w:r w:rsidRPr="000F5F7B">
        <w:t xml:space="preserve">Landcare and Friends of Groups – John </w:t>
      </w:r>
      <w:proofErr w:type="spellStart"/>
      <w:r w:rsidRPr="000F5F7B">
        <w:t>Huf</w:t>
      </w:r>
      <w:proofErr w:type="spellEnd"/>
    </w:p>
    <w:p w:rsidR="000F5F7B" w:rsidRPr="000F5F7B" w:rsidRDefault="000F5F7B" w:rsidP="000F5F7B">
      <w:r w:rsidRPr="000F5F7B">
        <w:t>Nillumbik Tourism Association – Jan Kelly (until 2007); Ken King (from 2007)</w:t>
      </w:r>
    </w:p>
    <w:p w:rsidR="000F5F7B" w:rsidRPr="000F5F7B" w:rsidRDefault="000F5F7B" w:rsidP="000F5F7B">
      <w:r w:rsidRPr="000F5F7B">
        <w:t>Victorian Farmers Federation – Ian McMillan</w:t>
      </w:r>
    </w:p>
    <w:p w:rsidR="000F5F7B" w:rsidRPr="000F5F7B" w:rsidRDefault="000F5F7B" w:rsidP="000F5F7B">
      <w:r w:rsidRPr="000F5F7B">
        <w:t>Bend of Islands Grazing Properties – Stephen Hill (until 2008)</w:t>
      </w:r>
    </w:p>
    <w:p w:rsidR="000F5F7B" w:rsidRPr="000F5F7B" w:rsidRDefault="000F5F7B" w:rsidP="000F5F7B">
      <w:r w:rsidRPr="000F5F7B">
        <w:t>Bend of Islands Conservation Association – Frank Pierce</w:t>
      </w:r>
    </w:p>
    <w:p w:rsidR="000F5F7B" w:rsidRPr="000F5F7B" w:rsidRDefault="000F5F7B" w:rsidP="000F5F7B">
      <w:r w:rsidRPr="000F5F7B">
        <w:t>Green Wedge Protection Group – Kahn Franke</w:t>
      </w:r>
    </w:p>
    <w:p w:rsidR="000F5F7B" w:rsidRPr="000F5F7B" w:rsidRDefault="000F5F7B" w:rsidP="000F5F7B">
      <w:r w:rsidRPr="000F5F7B">
        <w:t xml:space="preserve">Friends of Nillumbik – Sue </w:t>
      </w:r>
      <w:proofErr w:type="spellStart"/>
      <w:r w:rsidRPr="000F5F7B">
        <w:t>Aldred</w:t>
      </w:r>
      <w:proofErr w:type="spellEnd"/>
      <w:r w:rsidRPr="000F5F7B">
        <w:t xml:space="preserve"> (until 2009)</w:t>
      </w:r>
    </w:p>
    <w:p w:rsidR="000F5F7B" w:rsidRPr="000F5F7B" w:rsidRDefault="000F5F7B" w:rsidP="000F5F7B">
      <w:r w:rsidRPr="000F5F7B">
        <w:t>Hurstbridge and District Advisory Committee – Pam Lawson</w:t>
      </w:r>
    </w:p>
    <w:p w:rsidR="000F5F7B" w:rsidRPr="000F5F7B" w:rsidRDefault="000F5F7B" w:rsidP="000F5F7B">
      <w:r w:rsidRPr="000F5F7B">
        <w:t xml:space="preserve">Trust for Nature – </w:t>
      </w:r>
      <w:proofErr w:type="spellStart"/>
      <w:r w:rsidRPr="000F5F7B">
        <w:t>Lynlee</w:t>
      </w:r>
      <w:proofErr w:type="spellEnd"/>
      <w:r w:rsidRPr="000F5F7B">
        <w:t xml:space="preserve"> Tozer</w:t>
      </w:r>
    </w:p>
    <w:p w:rsidR="000F5F7B" w:rsidRPr="000F5F7B" w:rsidRDefault="000F5F7B" w:rsidP="000F5F7B">
      <w:pPr>
        <w:rPr>
          <w:b/>
        </w:rPr>
      </w:pPr>
      <w:r w:rsidRPr="000F5F7B">
        <w:rPr>
          <w:b/>
        </w:rPr>
        <w:t>Community members</w:t>
      </w:r>
    </w:p>
    <w:p w:rsidR="000F5F7B" w:rsidRPr="000F5F7B" w:rsidRDefault="000F5F7B" w:rsidP="000F5F7B">
      <w:r w:rsidRPr="000F5F7B">
        <w:t xml:space="preserve">Dr Geoff Mosley, Janet </w:t>
      </w:r>
      <w:proofErr w:type="spellStart"/>
      <w:r w:rsidRPr="000F5F7B">
        <w:t>Mattiske</w:t>
      </w:r>
      <w:proofErr w:type="spellEnd"/>
      <w:r w:rsidRPr="000F5F7B">
        <w:t xml:space="preserve">, Anika Van </w:t>
      </w:r>
      <w:proofErr w:type="spellStart"/>
      <w:r w:rsidRPr="000F5F7B">
        <w:t>Hulsen</w:t>
      </w:r>
      <w:proofErr w:type="spellEnd"/>
      <w:r w:rsidRPr="000F5F7B">
        <w:t xml:space="preserve">, Graeme </w:t>
      </w:r>
      <w:proofErr w:type="spellStart"/>
      <w:r w:rsidRPr="000F5F7B">
        <w:t>Hubbert</w:t>
      </w:r>
      <w:proofErr w:type="spellEnd"/>
      <w:r w:rsidRPr="000F5F7B">
        <w:t xml:space="preserve">, </w:t>
      </w:r>
      <w:proofErr w:type="spellStart"/>
      <w:r w:rsidRPr="000F5F7B">
        <w:t>Liezl</w:t>
      </w:r>
      <w:proofErr w:type="spellEnd"/>
      <w:r>
        <w:t xml:space="preserve"> </w:t>
      </w:r>
      <w:proofErr w:type="spellStart"/>
      <w:r w:rsidRPr="000F5F7B">
        <w:t>Shnookal</w:t>
      </w:r>
      <w:proofErr w:type="spellEnd"/>
      <w:r w:rsidRPr="000F5F7B">
        <w:t xml:space="preserve">, Mike </w:t>
      </w:r>
      <w:proofErr w:type="spellStart"/>
      <w:r w:rsidRPr="000F5F7B">
        <w:t>Pelling</w:t>
      </w:r>
      <w:proofErr w:type="spellEnd"/>
      <w:r w:rsidRPr="000F5F7B">
        <w:t xml:space="preserve">, Bronwyn South, Sue </w:t>
      </w:r>
      <w:proofErr w:type="spellStart"/>
      <w:r w:rsidRPr="000F5F7B">
        <w:t>Aldred</w:t>
      </w:r>
      <w:proofErr w:type="spellEnd"/>
      <w:r w:rsidRPr="000F5F7B">
        <w:t xml:space="preserve"> (from 2009)</w:t>
      </w:r>
    </w:p>
    <w:p w:rsidR="000F5F7B" w:rsidRPr="000F5F7B" w:rsidRDefault="000F5F7B" w:rsidP="000F5F7B">
      <w:pPr>
        <w:rPr>
          <w:b/>
        </w:rPr>
      </w:pPr>
      <w:r w:rsidRPr="000F5F7B">
        <w:rPr>
          <w:b/>
        </w:rPr>
        <w:t>State agencies</w:t>
      </w:r>
    </w:p>
    <w:p w:rsidR="000F5F7B" w:rsidRDefault="000F5F7B" w:rsidP="000F5F7B">
      <w:r w:rsidRPr="000F5F7B">
        <w:t>Country Fire Authority – Jeff Adair (until 2008); Ray Fritz (from 2008)</w:t>
      </w:r>
    </w:p>
    <w:p w:rsidR="000F5F7B" w:rsidRPr="000F5F7B" w:rsidRDefault="000F5F7B" w:rsidP="000F5F7B">
      <w:r w:rsidRPr="000F5F7B">
        <w:t>Other public agencies were consulted through the state government’s Department of</w:t>
      </w:r>
      <w:r>
        <w:t xml:space="preserve"> </w:t>
      </w:r>
      <w:r w:rsidRPr="000F5F7B">
        <w:t>Planning and Community Development Project Control Group</w:t>
      </w:r>
    </w:p>
    <w:p w:rsidR="000F5F7B" w:rsidRPr="000F5F7B" w:rsidRDefault="000F5F7B" w:rsidP="000F5F7B">
      <w:pPr>
        <w:rPr>
          <w:b/>
        </w:rPr>
      </w:pPr>
      <w:r w:rsidRPr="000F5F7B">
        <w:rPr>
          <w:b/>
        </w:rPr>
        <w:t>Victorian Government Department of Planning and Community Development</w:t>
      </w:r>
    </w:p>
    <w:p w:rsidR="000F5F7B" w:rsidRPr="000F5F7B" w:rsidRDefault="000F5F7B" w:rsidP="000F5F7B">
      <w:r w:rsidRPr="000F5F7B">
        <w:t xml:space="preserve">Shirley </w:t>
      </w:r>
      <w:proofErr w:type="spellStart"/>
      <w:r w:rsidRPr="000F5F7B">
        <w:t>Diez</w:t>
      </w:r>
      <w:proofErr w:type="spellEnd"/>
      <w:r w:rsidRPr="000F5F7B">
        <w:t>, Mardi Tress, Emma Shorter (2007), Patsy Martin and Simon</w:t>
      </w:r>
      <w:r>
        <w:t xml:space="preserve"> </w:t>
      </w:r>
      <w:proofErr w:type="spellStart"/>
      <w:r w:rsidRPr="000F5F7B">
        <w:t>Michmacher</w:t>
      </w:r>
      <w:proofErr w:type="spellEnd"/>
      <w:r w:rsidRPr="000F5F7B">
        <w:t xml:space="preserve"> (2008)</w:t>
      </w:r>
    </w:p>
    <w:p w:rsidR="000F5F7B" w:rsidRPr="000F5F7B" w:rsidRDefault="000F5F7B" w:rsidP="000F5F7B">
      <w:pPr>
        <w:rPr>
          <w:b/>
        </w:rPr>
      </w:pPr>
      <w:r w:rsidRPr="000F5F7B">
        <w:rPr>
          <w:b/>
        </w:rPr>
        <w:t>DPCD Green Wedges team</w:t>
      </w:r>
    </w:p>
    <w:p w:rsidR="000F5F7B" w:rsidRPr="000F5F7B" w:rsidRDefault="000F5F7B" w:rsidP="000F5F7B">
      <w:r w:rsidRPr="000F5F7B">
        <w:t xml:space="preserve">Jack </w:t>
      </w:r>
      <w:proofErr w:type="spellStart"/>
      <w:r w:rsidRPr="000F5F7B">
        <w:t>Krohn</w:t>
      </w:r>
      <w:proofErr w:type="spellEnd"/>
      <w:r w:rsidRPr="000F5F7B">
        <w:t>, Patsy Martin, Project Control Group</w:t>
      </w:r>
    </w:p>
    <w:p w:rsidR="000F5F7B" w:rsidRPr="000F5F7B" w:rsidRDefault="000F5F7B" w:rsidP="000F5F7B">
      <w:pPr>
        <w:rPr>
          <w:b/>
        </w:rPr>
      </w:pPr>
      <w:r w:rsidRPr="000F5F7B">
        <w:rPr>
          <w:b/>
        </w:rPr>
        <w:t>Nillumbik Shire councillors from November 2008</w:t>
      </w:r>
    </w:p>
    <w:p w:rsidR="000F5F7B" w:rsidRPr="000F5F7B" w:rsidRDefault="000F5F7B" w:rsidP="000F5F7B">
      <w:r w:rsidRPr="000F5F7B">
        <w:t xml:space="preserve">Cr Bo </w:t>
      </w:r>
      <w:proofErr w:type="spellStart"/>
      <w:r w:rsidRPr="000F5F7B">
        <w:t>Bendtsen</w:t>
      </w:r>
      <w:proofErr w:type="spellEnd"/>
      <w:r w:rsidRPr="000F5F7B">
        <w:t xml:space="preserve"> (until 2009), Cr Ken King, Cr Lewis Brock</w:t>
      </w:r>
      <w:r>
        <w:t xml:space="preserve"> </w:t>
      </w:r>
      <w:r w:rsidRPr="000F5F7B">
        <w:t>to November 2008</w:t>
      </w:r>
    </w:p>
    <w:p w:rsidR="000F5F7B" w:rsidRPr="000F5F7B" w:rsidRDefault="000F5F7B" w:rsidP="000F5F7B">
      <w:r w:rsidRPr="000F5F7B">
        <w:t>Cr Warwick Leeson (Mayor), Cr Greg Johnson, Cr Peter Yates, Cr Bill Penrose</w:t>
      </w:r>
    </w:p>
    <w:p w:rsidR="000F5F7B" w:rsidRPr="000F5F7B" w:rsidRDefault="000F5F7B" w:rsidP="000F5F7B">
      <w:pPr>
        <w:rPr>
          <w:b/>
        </w:rPr>
      </w:pPr>
      <w:r w:rsidRPr="000F5F7B">
        <w:rPr>
          <w:b/>
        </w:rPr>
        <w:t>Neighbouring councils</w:t>
      </w:r>
    </w:p>
    <w:p w:rsidR="000F5F7B" w:rsidRPr="000F5F7B" w:rsidRDefault="000F5F7B" w:rsidP="000F5F7B">
      <w:r w:rsidRPr="000F5F7B">
        <w:t>Shire of Yarra Ranges – Graham Whitt (until 2008), Graham Bower (until 2009),</w:t>
      </w:r>
      <w:r>
        <w:t xml:space="preserve"> </w:t>
      </w:r>
      <w:r w:rsidRPr="000F5F7B">
        <w:t xml:space="preserve">Claudette </w:t>
      </w:r>
      <w:proofErr w:type="spellStart"/>
      <w:r w:rsidRPr="000F5F7B">
        <w:t>Fahy</w:t>
      </w:r>
      <w:proofErr w:type="spellEnd"/>
      <w:r w:rsidRPr="000F5F7B">
        <w:t xml:space="preserve"> (from 2009); Manningham – Hamish Allan (until 2009), Samantha</w:t>
      </w:r>
      <w:r>
        <w:t xml:space="preserve"> </w:t>
      </w:r>
      <w:r w:rsidRPr="000F5F7B">
        <w:t>Bradley (from 2009); Whittlesea – Darren Jackson (until 2008), Tanya Young (from</w:t>
      </w:r>
      <w:r>
        <w:t xml:space="preserve"> </w:t>
      </w:r>
      <w:r w:rsidRPr="000F5F7B">
        <w:t>2008 to 2010)</w:t>
      </w:r>
    </w:p>
    <w:p w:rsidR="000F5F7B" w:rsidRPr="000F5F7B" w:rsidRDefault="000F5F7B" w:rsidP="000F5F7B">
      <w:pPr>
        <w:pStyle w:val="Heading3"/>
        <w:numPr>
          <w:ilvl w:val="0"/>
          <w:numId w:val="0"/>
        </w:numPr>
        <w:ind w:left="1077" w:hanging="1077"/>
      </w:pPr>
      <w:r w:rsidRPr="000F5F7B">
        <w:lastRenderedPageBreak/>
        <w:t>Terms of reference for the community advisory group</w:t>
      </w:r>
    </w:p>
    <w:p w:rsidR="000F5F7B" w:rsidRDefault="000F5F7B" w:rsidP="000F5F7B">
      <w:r w:rsidRPr="000F5F7B">
        <w:t>Council advertised for applications for membership of the community advisory group</w:t>
      </w:r>
      <w:r>
        <w:t xml:space="preserve"> </w:t>
      </w:r>
      <w:r w:rsidRPr="000F5F7B">
        <w:t>and appointed the following organisations and individuals. The original terms of</w:t>
      </w:r>
      <w:r>
        <w:t xml:space="preserve"> </w:t>
      </w:r>
      <w:r w:rsidRPr="000F5F7B">
        <w:t>reference are reprinted below.</w:t>
      </w:r>
    </w:p>
    <w:p w:rsidR="000F5F7B" w:rsidRPr="000F5F7B" w:rsidRDefault="000F5F7B" w:rsidP="000F5F7B">
      <w:pPr>
        <w:pStyle w:val="ListNumber"/>
        <w:numPr>
          <w:ilvl w:val="6"/>
          <w:numId w:val="35"/>
        </w:numPr>
      </w:pPr>
      <w:r w:rsidRPr="000F5F7B">
        <w:t>Context</w:t>
      </w:r>
    </w:p>
    <w:p w:rsidR="000F5F7B" w:rsidRPr="000F5F7B" w:rsidRDefault="000F5F7B" w:rsidP="000F5F7B">
      <w:r w:rsidRPr="000F5F7B">
        <w:t>Nillumbik Shire Council is the Green Wedge Shire and it is committed to</w:t>
      </w:r>
      <w:r>
        <w:t xml:space="preserve"> </w:t>
      </w:r>
      <w:r w:rsidRPr="000F5F7B">
        <w:t>protecting and enhancing the natural and cultural environment of Nillumbik. It</w:t>
      </w:r>
      <w:r>
        <w:t xml:space="preserve"> </w:t>
      </w:r>
      <w:r w:rsidRPr="000F5F7B">
        <w:t>recognises that people who live in Nillumbik do so because they value the</w:t>
      </w:r>
      <w:r>
        <w:t xml:space="preserve"> </w:t>
      </w:r>
      <w:r w:rsidRPr="000F5F7B">
        <w:t>countryside and its native bushland, the rolling farmland, and the opportunity to</w:t>
      </w:r>
      <w:r>
        <w:t xml:space="preserve"> </w:t>
      </w:r>
      <w:r w:rsidRPr="000F5F7B">
        <w:t>live in a rural environment with plenty of space around them. The council wishes</w:t>
      </w:r>
      <w:r>
        <w:t xml:space="preserve"> </w:t>
      </w:r>
      <w:r w:rsidRPr="000F5F7B">
        <w:t>to prepare a green wedge management plan as a priority so that these values</w:t>
      </w:r>
      <w:r>
        <w:t xml:space="preserve"> </w:t>
      </w:r>
      <w:r w:rsidRPr="000F5F7B">
        <w:t>can be conserved and enhanced and so that the natural environment remains as</w:t>
      </w:r>
      <w:r>
        <w:t xml:space="preserve"> </w:t>
      </w:r>
      <w:r w:rsidRPr="000F5F7B">
        <w:t>a legacy for future generations to enjoy.</w:t>
      </w:r>
    </w:p>
    <w:p w:rsidR="000F5F7B" w:rsidRPr="000F5F7B" w:rsidRDefault="000F5F7B" w:rsidP="000F5F7B">
      <w:r w:rsidRPr="000F5F7B">
        <w:t>The green wedge management plan will not be developed in a vacuum. The</w:t>
      </w:r>
      <w:r>
        <w:t xml:space="preserve"> </w:t>
      </w:r>
      <w:r w:rsidRPr="000F5F7B">
        <w:t>existing planning framework is already in place through the Nillumbik Planning</w:t>
      </w:r>
      <w:r>
        <w:t xml:space="preserve"> </w:t>
      </w:r>
      <w:r w:rsidRPr="000F5F7B">
        <w:t>Scheme and this defines the main areas of urban and rural land through a series</w:t>
      </w:r>
      <w:r>
        <w:t xml:space="preserve"> </w:t>
      </w:r>
      <w:r w:rsidRPr="000F5F7B">
        <w:t>of zones and overlays and associated regulations. These provisions include the</w:t>
      </w:r>
      <w:r>
        <w:t xml:space="preserve"> </w:t>
      </w:r>
      <w:r w:rsidRPr="000F5F7B">
        <w:t>urban growth boundary, which sets limits to urban growth and Green Wedge</w:t>
      </w:r>
      <w:r>
        <w:t xml:space="preserve"> </w:t>
      </w:r>
      <w:r w:rsidRPr="000F5F7B">
        <w:t>Zones, which set the framework within which the management plan is to be</w:t>
      </w:r>
      <w:r>
        <w:t xml:space="preserve"> </w:t>
      </w:r>
      <w:r w:rsidRPr="000F5F7B">
        <w:t>developed. The Green Wedge Zones which cover approximately 90 per cent of</w:t>
      </w:r>
      <w:r>
        <w:t xml:space="preserve"> </w:t>
      </w:r>
      <w:r w:rsidRPr="000F5F7B">
        <w:t>the shire are applied outside the urban areas and exclude townships such as</w:t>
      </w:r>
      <w:r>
        <w:t xml:space="preserve"> </w:t>
      </w:r>
      <w:r w:rsidRPr="000F5F7B">
        <w:t>Hurstbridge, Wattle Glen, Panton Hill and St Andrews.</w:t>
      </w:r>
    </w:p>
    <w:p w:rsidR="000F5F7B" w:rsidRDefault="000F5F7B" w:rsidP="000F5F7B">
      <w:r w:rsidRPr="000F5F7B">
        <w:t>The council wishes to prepare a plan which has the backing of the community</w:t>
      </w:r>
      <w:r>
        <w:t xml:space="preserve"> </w:t>
      </w:r>
      <w:r w:rsidRPr="000F5F7B">
        <w:t>and which describes a vision for the Nillumbik Green Wedge which has a</w:t>
      </w:r>
      <w:r>
        <w:t xml:space="preserve"> </w:t>
      </w:r>
      <w:r w:rsidRPr="000F5F7B">
        <w:t>consensus of support. It believes that the plan will not be successful unless it</w:t>
      </w:r>
      <w:r>
        <w:t xml:space="preserve"> </w:t>
      </w:r>
      <w:r w:rsidRPr="000F5F7B">
        <w:t>has the broad backing of local people and local businesses and those who have</w:t>
      </w:r>
      <w:r>
        <w:t xml:space="preserve"> </w:t>
      </w:r>
      <w:r w:rsidRPr="000F5F7B">
        <w:t>a ‘stake’ in the green wedge and its values.</w:t>
      </w:r>
    </w:p>
    <w:p w:rsidR="000F5F7B" w:rsidRPr="000F5F7B" w:rsidRDefault="000F5F7B" w:rsidP="000F5F7B">
      <w:r w:rsidRPr="000F5F7B">
        <w:t>Council therefore wishes to establish a community advisory group to assist in this</w:t>
      </w:r>
      <w:r>
        <w:t xml:space="preserve"> </w:t>
      </w:r>
      <w:r w:rsidRPr="000F5F7B">
        <w:t>process and to help inform the development of the green wedge management</w:t>
      </w:r>
      <w:r>
        <w:t xml:space="preserve"> </w:t>
      </w:r>
      <w:r w:rsidRPr="000F5F7B">
        <w:t>plan. Although the advisory group will be an important part of the community</w:t>
      </w:r>
      <w:r>
        <w:t xml:space="preserve"> </w:t>
      </w:r>
      <w:r w:rsidRPr="000F5F7B">
        <w:t>consultation process, there will be extensive further consultation to ensure that</w:t>
      </w:r>
      <w:r>
        <w:t xml:space="preserve"> </w:t>
      </w:r>
      <w:r w:rsidRPr="000F5F7B">
        <w:t>people are kept informed of progress and have a real opportunity to affect</w:t>
      </w:r>
      <w:r>
        <w:t xml:space="preserve"> </w:t>
      </w:r>
      <w:r w:rsidRPr="000F5F7B">
        <w:t>development of the plan.</w:t>
      </w:r>
    </w:p>
    <w:p w:rsidR="000F5F7B" w:rsidRDefault="000F5F7B" w:rsidP="000F5F7B">
      <w:r w:rsidRPr="000F5F7B">
        <w:t>The plan will also contribute to better planning for the broader metropolitan area</w:t>
      </w:r>
      <w:r>
        <w:t xml:space="preserve"> </w:t>
      </w:r>
      <w:r w:rsidRPr="000F5F7B">
        <w:t>and can help to make Melbourne a more sustainable city in line with the values</w:t>
      </w:r>
      <w:r>
        <w:t xml:space="preserve"> </w:t>
      </w:r>
      <w:r w:rsidRPr="000F5F7B">
        <w:t>set out in Melbourne 2030.</w:t>
      </w:r>
    </w:p>
    <w:p w:rsidR="000F5F7B" w:rsidRPr="000F5F7B" w:rsidRDefault="000F5F7B" w:rsidP="000F5F7B">
      <w:pPr>
        <w:pStyle w:val="ListNumber"/>
      </w:pPr>
      <w:r w:rsidRPr="000F5F7B">
        <w:t>Purpose</w:t>
      </w:r>
    </w:p>
    <w:p w:rsidR="000F5F7B" w:rsidRPr="000F5F7B" w:rsidRDefault="000F5F7B" w:rsidP="000F5F7B">
      <w:r w:rsidRPr="000F5F7B">
        <w:t>The purpose of the community advisory group is therefore to help develop a</w:t>
      </w:r>
      <w:r>
        <w:t xml:space="preserve"> </w:t>
      </w:r>
      <w:r w:rsidRPr="000F5F7B">
        <w:t>green wedge management plan for the Shire of Nillumbik. It will be advisory</w:t>
      </w:r>
      <w:r>
        <w:t xml:space="preserve"> </w:t>
      </w:r>
      <w:r w:rsidRPr="000F5F7B">
        <w:t>rather than decision-making, because decisions will by necessity remain with the</w:t>
      </w:r>
      <w:r>
        <w:t xml:space="preserve"> </w:t>
      </w:r>
      <w:r w:rsidRPr="000F5F7B">
        <w:t>elected representatives of the council itself. However, the advisory group is</w:t>
      </w:r>
      <w:r>
        <w:t xml:space="preserve"> </w:t>
      </w:r>
      <w:r w:rsidRPr="000F5F7B">
        <w:t>intended to be a 2-way communication between the community and the council</w:t>
      </w:r>
      <w:r>
        <w:t xml:space="preserve"> </w:t>
      </w:r>
      <w:r w:rsidRPr="000F5F7B">
        <w:t>and will be a sounding board on community values and aspirations. Advisory</w:t>
      </w:r>
      <w:r>
        <w:t xml:space="preserve"> </w:t>
      </w:r>
      <w:r w:rsidRPr="000F5F7B">
        <w:t xml:space="preserve">group members will also communicate information and </w:t>
      </w:r>
      <w:r w:rsidRPr="000F5F7B">
        <w:lastRenderedPageBreak/>
        <w:t>progress on the plan to</w:t>
      </w:r>
      <w:r>
        <w:t xml:space="preserve"> </w:t>
      </w:r>
      <w:r w:rsidRPr="000F5F7B">
        <w:t>the wider community and local interest groups. The objectives of the advisory</w:t>
      </w:r>
      <w:r>
        <w:t xml:space="preserve"> </w:t>
      </w:r>
      <w:r w:rsidRPr="000F5F7B">
        <w:t>group can therefore be summarised as follows:</w:t>
      </w:r>
    </w:p>
    <w:p w:rsidR="000F5F7B" w:rsidRPr="000F5F7B" w:rsidRDefault="000F5F7B" w:rsidP="000F5F7B">
      <w:pPr>
        <w:pStyle w:val="ListBullet"/>
      </w:pPr>
      <w:r w:rsidRPr="000F5F7B">
        <w:t>To provide community input to the green wedge management plan</w:t>
      </w:r>
    </w:p>
    <w:p w:rsidR="000F5F7B" w:rsidRPr="000F5F7B" w:rsidRDefault="000F5F7B" w:rsidP="000F5F7B">
      <w:pPr>
        <w:pStyle w:val="ListBullet"/>
      </w:pPr>
      <w:r w:rsidRPr="000F5F7B">
        <w:t xml:space="preserve">To represent the views and values of the broader community </w:t>
      </w:r>
      <w:r>
        <w:t xml:space="preserve">and interest </w:t>
      </w:r>
      <w:r w:rsidRPr="000F5F7B">
        <w:t>group which they represent - rather than individual interests</w:t>
      </w:r>
    </w:p>
    <w:p w:rsidR="000F5F7B" w:rsidRPr="000F5F7B" w:rsidRDefault="000F5F7B" w:rsidP="000F5F7B">
      <w:pPr>
        <w:pStyle w:val="ListBullet"/>
      </w:pPr>
      <w:r w:rsidRPr="000F5F7B">
        <w:t>To assist and support the project team to prepare and deliver the plan</w:t>
      </w:r>
    </w:p>
    <w:p w:rsidR="000F5F7B" w:rsidRPr="000F5F7B" w:rsidRDefault="000F5F7B" w:rsidP="000F5F7B">
      <w:pPr>
        <w:pStyle w:val="ListBullet"/>
      </w:pPr>
      <w:r w:rsidRPr="000F5F7B">
        <w:t xml:space="preserve">To provide information, advice and feedback </w:t>
      </w:r>
      <w:r>
        <w:t xml:space="preserve">as needed to help inform and </w:t>
      </w:r>
      <w:r w:rsidRPr="000F5F7B">
        <w:t>improve the development of the plan</w:t>
      </w:r>
    </w:p>
    <w:p w:rsidR="000F5F7B" w:rsidRPr="000F5F7B" w:rsidRDefault="000F5F7B" w:rsidP="000F5F7B">
      <w:pPr>
        <w:pStyle w:val="ListBullet"/>
      </w:pPr>
      <w:r w:rsidRPr="000F5F7B">
        <w:t xml:space="preserve">To help inform the wider community about </w:t>
      </w:r>
      <w:r>
        <w:t xml:space="preserve">the development of the plan and </w:t>
      </w:r>
      <w:r w:rsidRPr="000F5F7B">
        <w:t>progress</w:t>
      </w:r>
    </w:p>
    <w:p w:rsidR="000F5F7B" w:rsidRDefault="000F5F7B" w:rsidP="000F5F7B">
      <w:r w:rsidRPr="000F5F7B">
        <w:t>The group would be set up to help prepare the green wedge management plan</w:t>
      </w:r>
      <w:r>
        <w:t xml:space="preserve"> </w:t>
      </w:r>
      <w:r w:rsidRPr="000F5F7B">
        <w:t>and so will have a limited life. When the plan has been prepared and adopted by</w:t>
      </w:r>
      <w:r>
        <w:t xml:space="preserve"> </w:t>
      </w:r>
      <w:r w:rsidRPr="000F5F7B">
        <w:t>council, the group will have completed its work.</w:t>
      </w:r>
    </w:p>
    <w:p w:rsidR="000F5F7B" w:rsidRPr="000F5F7B" w:rsidRDefault="000F5F7B" w:rsidP="000F5F7B">
      <w:pPr>
        <w:pStyle w:val="ListNumber"/>
      </w:pPr>
      <w:r w:rsidRPr="000F5F7B">
        <w:t>Outputs</w:t>
      </w:r>
    </w:p>
    <w:p w:rsidR="000F5F7B" w:rsidRPr="000F5F7B" w:rsidRDefault="000F5F7B" w:rsidP="000F5F7B">
      <w:r w:rsidRPr="000F5F7B">
        <w:t>A work program for the development of the green wedge management plan has</w:t>
      </w:r>
      <w:r>
        <w:t xml:space="preserve"> </w:t>
      </w:r>
      <w:r w:rsidRPr="000F5F7B">
        <w:t>not yet been finalised nor approved by council. However it is anticipated that the</w:t>
      </w:r>
      <w:r>
        <w:t xml:space="preserve"> </w:t>
      </w:r>
      <w:r w:rsidRPr="000F5F7B">
        <w:t>plan will be developed over the course of 12 months and that the advisory group</w:t>
      </w:r>
      <w:r>
        <w:t xml:space="preserve"> </w:t>
      </w:r>
      <w:r w:rsidRPr="000F5F7B">
        <w:t>will meet at key stages over that time to provide input, to review draft papers, and</w:t>
      </w:r>
      <w:r>
        <w:t xml:space="preserve"> </w:t>
      </w:r>
      <w:r w:rsidRPr="000F5F7B">
        <w:t xml:space="preserve">to </w:t>
      </w:r>
      <w:proofErr w:type="gramStart"/>
      <w:r w:rsidRPr="000F5F7B">
        <w:t>advise</w:t>
      </w:r>
      <w:proofErr w:type="gramEnd"/>
      <w:r w:rsidRPr="000F5F7B">
        <w:t xml:space="preserve"> on key issues.</w:t>
      </w:r>
    </w:p>
    <w:p w:rsidR="000F5F7B" w:rsidRDefault="000F5F7B" w:rsidP="000F5F7B">
      <w:r w:rsidRPr="000F5F7B">
        <w:t>Key outputs from the program will be identified at an early stage and referred to</w:t>
      </w:r>
      <w:r>
        <w:t xml:space="preserve"> </w:t>
      </w:r>
      <w:r w:rsidRPr="000F5F7B">
        <w:t>the advisory group for information and feedback.</w:t>
      </w:r>
    </w:p>
    <w:p w:rsidR="000F5F7B" w:rsidRPr="000F5F7B" w:rsidRDefault="000F5F7B" w:rsidP="000F5F7B">
      <w:pPr>
        <w:pStyle w:val="ListNumber"/>
      </w:pPr>
      <w:r w:rsidRPr="000F5F7B">
        <w:t>Procedural</w:t>
      </w:r>
    </w:p>
    <w:p w:rsidR="000F5F7B" w:rsidRPr="000F5F7B" w:rsidRDefault="000F5F7B" w:rsidP="000F5F7B">
      <w:r w:rsidRPr="000F5F7B">
        <w:t>The advisory group should generally expect to meet quarterly through the course</w:t>
      </w:r>
      <w:r>
        <w:t xml:space="preserve"> </w:t>
      </w:r>
      <w:r w:rsidRPr="000F5F7B">
        <w:t>of the project or as necessary to consider key issues and draft papers. The venue</w:t>
      </w:r>
      <w:r>
        <w:t xml:space="preserve"> </w:t>
      </w:r>
      <w:r w:rsidRPr="000F5F7B">
        <w:t>will be the municipal offices at Greensborough and meetings will be held outside</w:t>
      </w:r>
      <w:r>
        <w:t xml:space="preserve"> </w:t>
      </w:r>
      <w:r w:rsidRPr="000F5F7B">
        <w:t>office hours on a weekday (or at a time agreed upon by the group).</w:t>
      </w:r>
    </w:p>
    <w:p w:rsidR="000F5F7B" w:rsidRPr="000F5F7B" w:rsidRDefault="000F5F7B" w:rsidP="000F5F7B">
      <w:r w:rsidRPr="000F5F7B">
        <w:t>Representation on the advisory group has not yet been finalised but is likely to</w:t>
      </w:r>
      <w:r>
        <w:t xml:space="preserve"> </w:t>
      </w:r>
      <w:r w:rsidRPr="000F5F7B">
        <w:t xml:space="preserve">consist of </w:t>
      </w:r>
      <w:proofErr w:type="spellStart"/>
      <w:r w:rsidRPr="000F5F7B">
        <w:t>approx</w:t>
      </w:r>
      <w:proofErr w:type="spellEnd"/>
      <w:r w:rsidRPr="000F5F7B">
        <w:t xml:space="preserve"> 20 </w:t>
      </w:r>
      <w:proofErr w:type="gramStart"/>
      <w:r w:rsidRPr="000F5F7B">
        <w:t>‘stakeholders’ representing</w:t>
      </w:r>
      <w:proofErr w:type="gramEnd"/>
      <w:r w:rsidRPr="000F5F7B">
        <w:t xml:space="preserve"> a diversity of community interests</w:t>
      </w:r>
      <w:r>
        <w:t xml:space="preserve"> </w:t>
      </w:r>
      <w:r w:rsidRPr="000F5F7B">
        <w:t>and values. Meetings will be chaired by the mayor and supported by the project</w:t>
      </w:r>
      <w:r>
        <w:t xml:space="preserve"> </w:t>
      </w:r>
      <w:r w:rsidRPr="000F5F7B">
        <w:t>team and specialist consultants as necessary. The normal conventions for</w:t>
      </w:r>
      <w:r>
        <w:t xml:space="preserve"> </w:t>
      </w:r>
      <w:r w:rsidRPr="000F5F7B">
        <w:t>meetings and advisory groups will be expected in terms of behaviour and respect</w:t>
      </w:r>
      <w:r>
        <w:t xml:space="preserve"> </w:t>
      </w:r>
      <w:r w:rsidRPr="000F5F7B">
        <w:t>for colleagues, participation, attendance, and reporting. Whilst a consensus on</w:t>
      </w:r>
      <w:r>
        <w:t xml:space="preserve"> </w:t>
      </w:r>
      <w:r w:rsidRPr="000F5F7B">
        <w:t>issues may be desirable, it is not mandatory and divergent views will be recorded</w:t>
      </w:r>
      <w:r>
        <w:t xml:space="preserve"> </w:t>
      </w:r>
      <w:r w:rsidRPr="000F5F7B">
        <w:t>and taken into account.</w:t>
      </w:r>
    </w:p>
    <w:p w:rsidR="000F5F7B" w:rsidRDefault="000F5F7B" w:rsidP="000F5F7B">
      <w:r w:rsidRPr="000F5F7B">
        <w:t>Agendas and papers for meetings will be circulated in advance of meetings and a</w:t>
      </w:r>
      <w:r>
        <w:t xml:space="preserve"> </w:t>
      </w:r>
      <w:r w:rsidRPr="000F5F7B">
        <w:t>record of discussion will be circulated afterwards.</w:t>
      </w:r>
    </w:p>
    <w:p w:rsidR="000F5F7B" w:rsidRDefault="000F5F7B" w:rsidP="000F5F7B">
      <w:r w:rsidRPr="000F5F7B">
        <w:t>It will be important to create an open and trustworthy environment at meetings so</w:t>
      </w:r>
      <w:r>
        <w:t xml:space="preserve"> </w:t>
      </w:r>
      <w:r w:rsidRPr="000F5F7B">
        <w:t>that all views can be represented and heard.</w:t>
      </w:r>
    </w:p>
    <w:p w:rsidR="000F5F7B" w:rsidRPr="000F5F7B" w:rsidRDefault="000F5F7B" w:rsidP="000F5F7B">
      <w:pPr>
        <w:pStyle w:val="ListNumber"/>
      </w:pPr>
      <w:r w:rsidRPr="000F5F7B">
        <w:t>Resourcing</w:t>
      </w:r>
    </w:p>
    <w:p w:rsidR="000F5F7B" w:rsidRDefault="000F5F7B" w:rsidP="000F5F7B">
      <w:r w:rsidRPr="000F5F7B">
        <w:lastRenderedPageBreak/>
        <w:t>Day to day support for the advisory group will be provided by the Green Wedge</w:t>
      </w:r>
      <w:r>
        <w:t xml:space="preserve"> </w:t>
      </w:r>
      <w:r w:rsidRPr="000F5F7B">
        <w:t xml:space="preserve">Project Team which will be headed by Claudette </w:t>
      </w:r>
      <w:proofErr w:type="spellStart"/>
      <w:r w:rsidRPr="000F5F7B">
        <w:t>Fahy</w:t>
      </w:r>
      <w:proofErr w:type="spellEnd"/>
      <w:r w:rsidRPr="000F5F7B">
        <w:t>, Coordinator Strategic</w:t>
      </w:r>
      <w:r>
        <w:t xml:space="preserve"> </w:t>
      </w:r>
      <w:r w:rsidRPr="000F5F7B">
        <w:t>Planning. She can be contacted on 9433 3215 or by email via</w:t>
      </w:r>
      <w:r>
        <w:t xml:space="preserve"> </w:t>
      </w:r>
      <w:r w:rsidRPr="000F5F7B">
        <w:t>claudette.fahy@nillumbik.vic.gov.au. Specialist consultants may be engaged to</w:t>
      </w:r>
      <w:r>
        <w:t xml:space="preserve"> </w:t>
      </w:r>
      <w:r w:rsidRPr="000F5F7B">
        <w:t>assist in preparing the plan and they will attend and present to meetings as</w:t>
      </w:r>
      <w:r>
        <w:t xml:space="preserve"> </w:t>
      </w:r>
      <w:r w:rsidRPr="000F5F7B">
        <w:t>necessary.</w:t>
      </w:r>
    </w:p>
    <w:p w:rsidR="000F5F7B" w:rsidRDefault="000F5F7B">
      <w:r>
        <w:br w:type="page"/>
      </w:r>
    </w:p>
    <w:p w:rsidR="000F5F7B" w:rsidRPr="000F5F7B" w:rsidRDefault="000F5F7B" w:rsidP="000F5F7B">
      <w:pPr>
        <w:pStyle w:val="Heading2"/>
        <w:numPr>
          <w:ilvl w:val="0"/>
          <w:numId w:val="0"/>
        </w:numPr>
        <w:ind w:left="1077" w:hanging="1077"/>
      </w:pPr>
      <w:r w:rsidRPr="000F5F7B">
        <w:lastRenderedPageBreak/>
        <w:t>Abbreviations and terms</w:t>
      </w:r>
    </w:p>
    <w:p w:rsidR="000F5F7B" w:rsidRDefault="000F5F7B" w:rsidP="000F5F7B">
      <w:r w:rsidRPr="000F5F7B">
        <w:t>The following abbreviations and terms are used in this plan.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The following abbreviations and terms are used in this plan."/>
      </w:tblPr>
      <w:tblGrid>
        <w:gridCol w:w="3266"/>
        <w:gridCol w:w="6382"/>
      </w:tblGrid>
      <w:tr w:rsidR="000F5F7B" w:rsidTr="000F5F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266" w:type="dxa"/>
          </w:tcPr>
          <w:p w:rsidR="000F5F7B" w:rsidRDefault="000F5F7B" w:rsidP="000F5F7B">
            <w:r>
              <w:t>Abbreviations</w:t>
            </w:r>
          </w:p>
        </w:tc>
        <w:tc>
          <w:tcPr>
            <w:tcW w:w="6382" w:type="dxa"/>
          </w:tcPr>
          <w:p w:rsidR="000F5F7B" w:rsidRDefault="000F5F7B" w:rsidP="000F5F7B">
            <w:r>
              <w:t>Meaning</w:t>
            </w:r>
          </w:p>
        </w:tc>
      </w:tr>
      <w:tr w:rsidR="000F5F7B" w:rsidTr="000F5F7B">
        <w:tc>
          <w:tcPr>
            <w:tcW w:w="3266" w:type="dxa"/>
          </w:tcPr>
          <w:p w:rsidR="000F5F7B" w:rsidRDefault="000F5F7B" w:rsidP="000F5F7B">
            <w:r w:rsidRPr="000F5F7B">
              <w:t>Activity centre</w:t>
            </w:r>
          </w:p>
        </w:tc>
        <w:tc>
          <w:tcPr>
            <w:tcW w:w="6382" w:type="dxa"/>
          </w:tcPr>
          <w:p w:rsidR="000F5F7B" w:rsidRPr="000F5F7B" w:rsidRDefault="000F5F7B" w:rsidP="000F5F7B">
            <w:r w:rsidRPr="000F5F7B">
              <w:t>‘Activity centres are vibrant hubs where people shop, work, meet,</w:t>
            </w:r>
            <w:r>
              <w:t xml:space="preserve"> </w:t>
            </w:r>
            <w:r w:rsidRPr="000F5F7B">
              <w:t>relax and often live. Usually well served by public transport, they</w:t>
            </w:r>
            <w:r>
              <w:t xml:space="preserve"> </w:t>
            </w:r>
            <w:r w:rsidRPr="000F5F7B">
              <w:t>range in size and intensity of use from local neighbourhood strip</w:t>
            </w:r>
            <w:r>
              <w:t xml:space="preserve"> </w:t>
            </w:r>
            <w:r w:rsidRPr="000F5F7B">
              <w:t>shopping centres to universities and major regional shopping malls.</w:t>
            </w:r>
          </w:p>
          <w:p w:rsidR="000F5F7B" w:rsidRPr="000F5F7B" w:rsidRDefault="000F5F7B" w:rsidP="000F5F7B">
            <w:r w:rsidRPr="000F5F7B">
              <w:t>Linking them to good transport networks (road, public transport,</w:t>
            </w:r>
            <w:r>
              <w:t xml:space="preserve"> </w:t>
            </w:r>
            <w:r w:rsidRPr="000F5F7B">
              <w:t>pedestrian and cycle) is crucial as they attract high numbers of</w:t>
            </w:r>
            <w:r>
              <w:t xml:space="preserve"> </w:t>
            </w:r>
            <w:r w:rsidRPr="000F5F7B">
              <w:t>people and generate a significant volume of trips in metropolitan</w:t>
            </w:r>
            <w:r>
              <w:t xml:space="preserve"> </w:t>
            </w:r>
            <w:r w:rsidRPr="000F5F7B">
              <w:t>Melbourne.</w:t>
            </w:r>
          </w:p>
          <w:p w:rsidR="000F5F7B" w:rsidRDefault="000F5F7B" w:rsidP="000F5F7B">
            <w:r w:rsidRPr="000F5F7B">
              <w:t>They are a central part of Melbourne 2030, which will encourage</w:t>
            </w:r>
            <w:r>
              <w:t xml:space="preserve"> </w:t>
            </w:r>
            <w:r w:rsidRPr="000F5F7B">
              <w:t>more development into activity centres to foster more sustainable,</w:t>
            </w:r>
            <w:r>
              <w:t xml:space="preserve"> </w:t>
            </w:r>
            <w:r w:rsidRPr="000F5F7B">
              <w:t>more vibrant communities and will be the focus of major change over</w:t>
            </w:r>
            <w:r>
              <w:t xml:space="preserve"> </w:t>
            </w:r>
            <w:r w:rsidRPr="000F5F7B">
              <w:t>the next 30 years.’ &lt;</w:t>
            </w:r>
            <w:hyperlink r:id="rId14" w:history="1">
              <w:r w:rsidRPr="000F5F7B">
                <w:rPr>
                  <w:rStyle w:val="Hyperlink"/>
                  <w:color w:val="000000"/>
                </w:rPr>
                <w:t>http://www.dse.vic.gov.au</w:t>
              </w:r>
            </w:hyperlink>
            <w:r w:rsidRPr="000F5F7B">
              <w:t>&gt;</w:t>
            </w:r>
          </w:p>
        </w:tc>
      </w:tr>
      <w:tr w:rsidR="000F5F7B" w:rsidTr="000F5F7B">
        <w:tc>
          <w:tcPr>
            <w:tcW w:w="3266" w:type="dxa"/>
          </w:tcPr>
          <w:p w:rsidR="000F5F7B" w:rsidRDefault="000F5F7B" w:rsidP="000F5F7B">
            <w:r w:rsidRPr="000F5F7B">
              <w:t>Agricultural, or farm</w:t>
            </w:r>
            <w:r>
              <w:t xml:space="preserve"> </w:t>
            </w:r>
            <w:r w:rsidRPr="000F5F7B">
              <w:t>viability</w:t>
            </w:r>
            <w:r>
              <w:t xml:space="preserve"> (includes technical </w:t>
            </w:r>
            <w:r w:rsidRPr="000F5F7B">
              <w:t>viability)</w:t>
            </w:r>
          </w:p>
        </w:tc>
        <w:tc>
          <w:tcPr>
            <w:tcW w:w="6382" w:type="dxa"/>
          </w:tcPr>
          <w:p w:rsidR="000F5F7B" w:rsidRPr="000F5F7B" w:rsidRDefault="000F5F7B" w:rsidP="000F5F7B">
            <w:r w:rsidRPr="000F5F7B">
              <w:t>The Shire of Nillumbik’s Land Capability Study (Woodward-Clyde,</w:t>
            </w:r>
            <w:r>
              <w:t xml:space="preserve"> </w:t>
            </w:r>
            <w:r w:rsidRPr="000F5F7B">
              <w:t>1998) differentiates between technical viability and farm viability.</w:t>
            </w:r>
          </w:p>
          <w:p w:rsidR="000F5F7B" w:rsidRDefault="000F5F7B" w:rsidP="000F5F7B">
            <w:r w:rsidRPr="000F5F7B">
              <w:t>Technical viability refers to whether a farm has potential for</w:t>
            </w:r>
            <w:r>
              <w:t xml:space="preserve"> </w:t>
            </w:r>
            <w:r w:rsidRPr="000F5F7B">
              <w:t>agricultural production in a sustainable way and is not a measure of</w:t>
            </w:r>
            <w:r>
              <w:t xml:space="preserve"> </w:t>
            </w:r>
            <w:r w:rsidRPr="000F5F7B">
              <w:t>its economic performance. Farm viability refers to whether</w:t>
            </w:r>
            <w:r>
              <w:t xml:space="preserve"> </w:t>
            </w:r>
            <w:r w:rsidRPr="000F5F7B">
              <w:t>production is economically viable: does it make sufficient income to</w:t>
            </w:r>
            <w:r>
              <w:t xml:space="preserve"> </w:t>
            </w:r>
            <w:r w:rsidRPr="000F5F7B">
              <w:t>service borrowings, provide a family with an adequate standard of</w:t>
            </w:r>
            <w:r>
              <w:t xml:space="preserve"> </w:t>
            </w:r>
            <w:r w:rsidRPr="000F5F7B">
              <w:t>living, allow investment in the farm and demonstrate ecological</w:t>
            </w:r>
            <w:r>
              <w:t xml:space="preserve"> </w:t>
            </w:r>
            <w:r w:rsidRPr="000F5F7B">
              <w:t>sustainability? (Nillumbik Shire Council 2006, p. 25)</w:t>
            </w:r>
          </w:p>
        </w:tc>
      </w:tr>
      <w:tr w:rsidR="000F5F7B" w:rsidTr="000F5F7B">
        <w:tc>
          <w:tcPr>
            <w:tcW w:w="3266" w:type="dxa"/>
          </w:tcPr>
          <w:p w:rsidR="000F5F7B" w:rsidRDefault="000F5F7B" w:rsidP="000F5F7B">
            <w:r w:rsidRPr="000F5F7B">
              <w:t>Biodiversity</w:t>
            </w:r>
          </w:p>
        </w:tc>
        <w:tc>
          <w:tcPr>
            <w:tcW w:w="6382" w:type="dxa"/>
          </w:tcPr>
          <w:p w:rsidR="000F5F7B" w:rsidRDefault="000F5F7B" w:rsidP="000F5F7B">
            <w:r w:rsidRPr="000F5F7B">
              <w:t>Biodiversity refers to the full range of variety and</w:t>
            </w:r>
            <w:r>
              <w:t xml:space="preserve"> </w:t>
            </w:r>
            <w:r w:rsidRPr="000F5F7B">
              <w:t>variability within and</w:t>
            </w:r>
            <w:r>
              <w:t xml:space="preserve"> among living organisms and the </w:t>
            </w:r>
            <w:r w:rsidRPr="000F5F7B">
              <w:t>ecological co</w:t>
            </w:r>
            <w:r>
              <w:t xml:space="preserve">mplexes in which they occur. It </w:t>
            </w:r>
            <w:r w:rsidRPr="000F5F7B">
              <w:t xml:space="preserve">encompasses ecosystem </w:t>
            </w:r>
            <w:r>
              <w:t xml:space="preserve">or community diversity, species </w:t>
            </w:r>
            <w:r w:rsidRPr="000F5F7B">
              <w:t>diversity and genetic diversity.</w:t>
            </w:r>
          </w:p>
        </w:tc>
      </w:tr>
      <w:tr w:rsidR="000F5F7B" w:rsidTr="000F5F7B">
        <w:tc>
          <w:tcPr>
            <w:tcW w:w="3266" w:type="dxa"/>
          </w:tcPr>
          <w:p w:rsidR="000F5F7B" w:rsidRDefault="000F5F7B" w:rsidP="000F5F7B">
            <w:r w:rsidRPr="000F5F7B">
              <w:t>Carbon footprint</w:t>
            </w:r>
          </w:p>
        </w:tc>
        <w:tc>
          <w:tcPr>
            <w:tcW w:w="6382" w:type="dxa"/>
          </w:tcPr>
          <w:p w:rsidR="000F5F7B" w:rsidRDefault="000F5F7B" w:rsidP="000F5F7B">
            <w:r w:rsidRPr="000F5F7B">
              <w:t>A carbon footprint is a measure of the impact of human activities on</w:t>
            </w:r>
            <w:r>
              <w:t xml:space="preserve"> </w:t>
            </w:r>
            <w:r w:rsidRPr="000F5F7B">
              <w:t>the environment in terms of the amount of greenhouse gases</w:t>
            </w:r>
            <w:r>
              <w:t xml:space="preserve"> </w:t>
            </w:r>
            <w:r w:rsidRPr="000F5F7B">
              <w:t>produced, measured in units of carbon dioxide.</w:t>
            </w:r>
          </w:p>
        </w:tc>
      </w:tr>
      <w:tr w:rsidR="000F5F7B" w:rsidTr="000F5F7B">
        <w:tc>
          <w:tcPr>
            <w:tcW w:w="3266" w:type="dxa"/>
          </w:tcPr>
          <w:p w:rsidR="000F5F7B" w:rsidRDefault="000F5F7B" w:rsidP="000F5F7B">
            <w:r w:rsidRPr="000F5F7B">
              <w:t>Climate change</w:t>
            </w:r>
          </w:p>
        </w:tc>
        <w:tc>
          <w:tcPr>
            <w:tcW w:w="6382" w:type="dxa"/>
          </w:tcPr>
          <w:p w:rsidR="000F5F7B" w:rsidRDefault="000F5F7B" w:rsidP="000F5F7B">
            <w:r w:rsidRPr="000F5F7B">
              <w:t>Climate change refers to the change in climate predicted to arise</w:t>
            </w:r>
            <w:r>
              <w:t xml:space="preserve"> </w:t>
            </w:r>
            <w:r w:rsidRPr="000F5F7B">
              <w:t>from human activities. This is predominantly attributed to an</w:t>
            </w:r>
            <w:r>
              <w:t xml:space="preserve"> </w:t>
            </w:r>
            <w:r w:rsidRPr="000F5F7B">
              <w:t xml:space="preserve">enhanced greenhouse effect which is the </w:t>
            </w:r>
            <w:r w:rsidRPr="000F5F7B">
              <w:lastRenderedPageBreak/>
              <w:t xml:space="preserve">process whereby </w:t>
            </w:r>
            <w:proofErr w:type="gramStart"/>
            <w:r w:rsidRPr="000F5F7B">
              <w:t>an</w:t>
            </w:r>
            <w:r>
              <w:t xml:space="preserve"> </w:t>
            </w:r>
            <w:r w:rsidRPr="000F5F7B">
              <w:t>increase</w:t>
            </w:r>
            <w:proofErr w:type="gramEnd"/>
            <w:r w:rsidRPr="000F5F7B">
              <w:t xml:space="preserve"> in greenhouse gases including carbon dioxide (CO2), water</w:t>
            </w:r>
            <w:r>
              <w:t xml:space="preserve"> </w:t>
            </w:r>
            <w:r w:rsidRPr="000F5F7B">
              <w:t>vapour and methane, which are in the air closest to the earth’s</w:t>
            </w:r>
            <w:r>
              <w:t xml:space="preserve"> </w:t>
            </w:r>
            <w:r w:rsidRPr="000F5F7B">
              <w:t>surface, absorb outgoing radiant heat and radiate some of this heat</w:t>
            </w:r>
            <w:r>
              <w:t xml:space="preserve"> </w:t>
            </w:r>
            <w:r w:rsidRPr="000F5F7B">
              <w:t>back downwards to warm the surface of the earth.</w:t>
            </w:r>
          </w:p>
        </w:tc>
      </w:tr>
      <w:tr w:rsidR="000F5F7B" w:rsidTr="000F5F7B">
        <w:tc>
          <w:tcPr>
            <w:tcW w:w="3266" w:type="dxa"/>
          </w:tcPr>
          <w:p w:rsidR="000F5F7B" w:rsidRDefault="000F5F7B" w:rsidP="000F5F7B">
            <w:r w:rsidRPr="000F5F7B">
              <w:lastRenderedPageBreak/>
              <w:t>Conservation</w:t>
            </w:r>
          </w:p>
        </w:tc>
        <w:tc>
          <w:tcPr>
            <w:tcW w:w="6382" w:type="dxa"/>
          </w:tcPr>
          <w:p w:rsidR="000F5F7B" w:rsidRPr="000F5F7B" w:rsidRDefault="000F5F7B" w:rsidP="000F5F7B">
            <w:r w:rsidRPr="000F5F7B">
              <w:t>‘Conservation means all the processes and actions of looking after a</w:t>
            </w:r>
            <w:r>
              <w:t xml:space="preserve"> </w:t>
            </w:r>
            <w:r w:rsidRPr="000F5F7B">
              <w:t>place so as to retain its natural significance and always includes</w:t>
            </w:r>
            <w:r>
              <w:t xml:space="preserve"> </w:t>
            </w:r>
            <w:r w:rsidRPr="000F5F7B">
              <w:t>protection, maintenance and monitoring’.</w:t>
            </w:r>
          </w:p>
          <w:p w:rsidR="000F5F7B" w:rsidRDefault="000F5F7B" w:rsidP="000F5F7B">
            <w:r w:rsidRPr="000F5F7B">
              <w:t>‘In making decisions that will affect the future of a place, it is</w:t>
            </w:r>
            <w:r>
              <w:t xml:space="preserve"> </w:t>
            </w:r>
            <w:r w:rsidRPr="000F5F7B">
              <w:t>important to consider all of its heritage values – both natural and</w:t>
            </w:r>
            <w:r>
              <w:t xml:space="preserve"> </w:t>
            </w:r>
            <w:r w:rsidRPr="000F5F7B">
              <w:t>cultural … The Charter relates closely to the general structure and</w:t>
            </w:r>
            <w:r>
              <w:t xml:space="preserve"> </w:t>
            </w:r>
            <w:r w:rsidRPr="000F5F7B">
              <w:t>logic of The Burra Charter – the Australia ICOMOS Charter for</w:t>
            </w:r>
            <w:r>
              <w:t xml:space="preserve"> </w:t>
            </w:r>
            <w:r w:rsidRPr="000F5F7B">
              <w:t>Places of Cultural Significance 1999’ (Australian Natural Heritage</w:t>
            </w:r>
            <w:r>
              <w:t xml:space="preserve"> </w:t>
            </w:r>
            <w:r w:rsidRPr="000F5F7B">
              <w:t>Charter).</w:t>
            </w:r>
          </w:p>
        </w:tc>
      </w:tr>
      <w:tr w:rsidR="000F5F7B" w:rsidTr="000F5F7B">
        <w:tc>
          <w:tcPr>
            <w:tcW w:w="3266" w:type="dxa"/>
          </w:tcPr>
          <w:p w:rsidR="000F5F7B" w:rsidRDefault="000F5F7B" w:rsidP="000F5F7B">
            <w:r w:rsidRPr="000F5F7B">
              <w:t>CSIRO</w:t>
            </w:r>
          </w:p>
        </w:tc>
        <w:tc>
          <w:tcPr>
            <w:tcW w:w="6382" w:type="dxa"/>
          </w:tcPr>
          <w:p w:rsidR="000F5F7B" w:rsidRDefault="009B3FBF" w:rsidP="000F5F7B">
            <w:r w:rsidRPr="009B3FBF">
              <w:t>Commonwealth Scientific and Research Organisation</w:t>
            </w:r>
          </w:p>
        </w:tc>
      </w:tr>
      <w:tr w:rsidR="00E45B56" w:rsidTr="000F5F7B">
        <w:tc>
          <w:tcPr>
            <w:tcW w:w="3266" w:type="dxa"/>
          </w:tcPr>
          <w:p w:rsidR="00E45B56" w:rsidRPr="000F5F7B" w:rsidRDefault="00E45B56" w:rsidP="000F5F7B">
            <w:r w:rsidRPr="00E45B56">
              <w:t>Cultural significance</w:t>
            </w:r>
          </w:p>
        </w:tc>
        <w:tc>
          <w:tcPr>
            <w:tcW w:w="6382" w:type="dxa"/>
          </w:tcPr>
          <w:p w:rsidR="00E45B56" w:rsidRPr="00E45B56" w:rsidRDefault="00E45B56" w:rsidP="00E45B56">
            <w:r w:rsidRPr="00E45B56">
              <w:t>‘Australian conservation practice… is based on the concept of</w:t>
            </w:r>
            <w:r>
              <w:t xml:space="preserve"> </w:t>
            </w:r>
            <w:r w:rsidRPr="00E45B56">
              <w:t>cultural significance i.e. that the values of a place can be described</w:t>
            </w:r>
            <w:r>
              <w:t xml:space="preserve"> </w:t>
            </w:r>
            <w:r w:rsidRPr="00E45B56">
              <w:t>and that retaining significance is the primary objective of</w:t>
            </w:r>
            <w:r>
              <w:t xml:space="preserve"> </w:t>
            </w:r>
            <w:r w:rsidRPr="00E45B56">
              <w:t>conservation. Some acts use slightly different terms – such as</w:t>
            </w:r>
            <w:r>
              <w:t xml:space="preserve"> </w:t>
            </w:r>
            <w:r w:rsidRPr="00E45B56">
              <w:t>“heritage significance” or “cultural heritage value” – but the concept</w:t>
            </w:r>
            <w:r>
              <w:t xml:space="preserve"> </w:t>
            </w:r>
            <w:r w:rsidRPr="00E45B56">
              <w:t>is the same as cultural significance.’</w:t>
            </w:r>
          </w:p>
          <w:p w:rsidR="00E45B56" w:rsidRPr="009B3FBF" w:rsidRDefault="00E45B56" w:rsidP="00E45B56">
            <w:r w:rsidRPr="00E45B56">
              <w:t>Cultural significance is embodied in a place, its fabric, setting, use,</w:t>
            </w:r>
            <w:r>
              <w:t xml:space="preserve"> </w:t>
            </w:r>
            <w:r w:rsidRPr="00E45B56">
              <w:t>associations and meanings. A given place may have a range of</w:t>
            </w:r>
            <w:r>
              <w:t xml:space="preserve"> </w:t>
            </w:r>
            <w:r w:rsidRPr="00E45B56">
              <w:t>values for different individuals or groups. In heritage practice the</w:t>
            </w:r>
            <w:r>
              <w:t xml:space="preserve"> </w:t>
            </w:r>
            <w:r w:rsidRPr="00E45B56">
              <w:t>significance of a place is assessed in terms of five values: aesthetic,</w:t>
            </w:r>
            <w:r>
              <w:t xml:space="preserve"> </w:t>
            </w:r>
            <w:r w:rsidRPr="00E45B56">
              <w:t>historic, scientific, social and spiritual value (Walker and Marquis-</w:t>
            </w:r>
            <w:r>
              <w:t xml:space="preserve"> </w:t>
            </w:r>
            <w:r w:rsidRPr="00E45B56">
              <w:t>Kyle 2004)</w:t>
            </w:r>
          </w:p>
        </w:tc>
      </w:tr>
      <w:tr w:rsidR="00E45B56" w:rsidTr="000F5F7B">
        <w:tc>
          <w:tcPr>
            <w:tcW w:w="3266" w:type="dxa"/>
          </w:tcPr>
          <w:p w:rsidR="00E45B56" w:rsidRPr="000F5F7B" w:rsidRDefault="00E45B56" w:rsidP="000F5F7B">
            <w:r w:rsidRPr="00E45B56">
              <w:t>Ecological footprint</w:t>
            </w:r>
          </w:p>
        </w:tc>
        <w:tc>
          <w:tcPr>
            <w:tcW w:w="6382" w:type="dxa"/>
          </w:tcPr>
          <w:p w:rsidR="00E45B56" w:rsidRPr="009B3FBF" w:rsidRDefault="00E45B56" w:rsidP="00E45B56">
            <w:r w:rsidRPr="00E45B56">
              <w:t>Ecological footprint analysis compares human demand on nature</w:t>
            </w:r>
            <w:r>
              <w:t xml:space="preserve"> </w:t>
            </w:r>
            <w:r w:rsidRPr="00E45B56">
              <w:t>with the biosphere's ability to regenerate resources and provide</w:t>
            </w:r>
            <w:r>
              <w:t xml:space="preserve"> </w:t>
            </w:r>
            <w:r w:rsidRPr="00E45B56">
              <w:t>services. It does this by assessing the biologically productive land</w:t>
            </w:r>
            <w:r>
              <w:t xml:space="preserve"> </w:t>
            </w:r>
            <w:r w:rsidRPr="00E45B56">
              <w:t>and marine area required to produce the resources a population</w:t>
            </w:r>
            <w:r>
              <w:t xml:space="preserve"> </w:t>
            </w:r>
            <w:r w:rsidRPr="00E45B56">
              <w:t>consumes and to absorb the corresponding waste, using prevailing</w:t>
            </w:r>
            <w:r>
              <w:t xml:space="preserve"> </w:t>
            </w:r>
            <w:r w:rsidRPr="00E45B56">
              <w:t>technology.</w:t>
            </w:r>
          </w:p>
        </w:tc>
      </w:tr>
      <w:tr w:rsidR="00E45B56" w:rsidTr="000F5F7B">
        <w:tc>
          <w:tcPr>
            <w:tcW w:w="3266" w:type="dxa"/>
          </w:tcPr>
          <w:p w:rsidR="00E45B56" w:rsidRPr="000F5F7B" w:rsidRDefault="00E45B56" w:rsidP="000F5F7B">
            <w:r w:rsidRPr="00E45B56">
              <w:t>Ecotourism</w:t>
            </w:r>
          </w:p>
        </w:tc>
        <w:tc>
          <w:tcPr>
            <w:tcW w:w="6382" w:type="dxa"/>
          </w:tcPr>
          <w:p w:rsidR="00E45B56" w:rsidRPr="009B3FBF" w:rsidRDefault="00E45B56" w:rsidP="00E45B56">
            <w:r w:rsidRPr="00E45B56">
              <w:t>Ecologically sustainable tourism with a primary focus on</w:t>
            </w:r>
            <w:r>
              <w:t xml:space="preserve"> </w:t>
            </w:r>
            <w:r w:rsidRPr="00E45B56">
              <w:t xml:space="preserve">experiencing natural areas that fosters environmental and </w:t>
            </w:r>
            <w:r w:rsidRPr="00E45B56">
              <w:lastRenderedPageBreak/>
              <w:t>cultural</w:t>
            </w:r>
            <w:r>
              <w:t xml:space="preserve"> </w:t>
            </w:r>
            <w:r w:rsidRPr="00E45B56">
              <w:t>understanding, appreciation and conservation’, Ecotourism Australia</w:t>
            </w:r>
          </w:p>
        </w:tc>
      </w:tr>
      <w:tr w:rsidR="00E45B56" w:rsidTr="000F5F7B">
        <w:tc>
          <w:tcPr>
            <w:tcW w:w="3266" w:type="dxa"/>
          </w:tcPr>
          <w:p w:rsidR="00E45B56" w:rsidRPr="000F5F7B" w:rsidRDefault="00E45B56" w:rsidP="00E45B56">
            <w:r w:rsidRPr="00E45B56">
              <w:lastRenderedPageBreak/>
              <w:t>Enhance (as in</w:t>
            </w:r>
            <w:r>
              <w:t xml:space="preserve"> </w:t>
            </w:r>
            <w:r w:rsidRPr="00E45B56">
              <w:t>conserve and</w:t>
            </w:r>
            <w:r>
              <w:t xml:space="preserve"> </w:t>
            </w:r>
            <w:r w:rsidRPr="00E45B56">
              <w:t>enhance)</w:t>
            </w:r>
          </w:p>
        </w:tc>
        <w:tc>
          <w:tcPr>
            <w:tcW w:w="6382" w:type="dxa"/>
          </w:tcPr>
          <w:p w:rsidR="00E45B56" w:rsidRPr="009B3FBF" w:rsidRDefault="00E45B56" w:rsidP="00E45B56">
            <w:r>
              <w:t>'</w:t>
            </w:r>
            <w:r w:rsidRPr="00E45B56">
              <w:t>Enhancement means the introduction of additional organisms,</w:t>
            </w:r>
            <w:r>
              <w:t xml:space="preserve"> </w:t>
            </w:r>
            <w:r w:rsidRPr="00E45B56">
              <w:t xml:space="preserve">genotypes, species or elements of habitat or </w:t>
            </w:r>
            <w:proofErr w:type="spellStart"/>
            <w:r w:rsidRPr="00E45B56">
              <w:t>geodiversity</w:t>
            </w:r>
            <w:proofErr w:type="spellEnd"/>
            <w:r w:rsidRPr="00E45B56">
              <w:t xml:space="preserve"> to those</w:t>
            </w:r>
            <w:r>
              <w:t xml:space="preserve"> </w:t>
            </w:r>
            <w:r w:rsidRPr="00E45B56">
              <w:t>that naturally exist in a place.’</w:t>
            </w:r>
            <w:r>
              <w:t xml:space="preserve"> </w:t>
            </w:r>
            <w:r w:rsidRPr="00E45B56">
              <w:t>(Article 1.26 Australian Natural Heritage Charter)</w:t>
            </w:r>
          </w:p>
        </w:tc>
      </w:tr>
      <w:tr w:rsidR="00E45B56" w:rsidTr="000F5F7B">
        <w:tc>
          <w:tcPr>
            <w:tcW w:w="3266" w:type="dxa"/>
          </w:tcPr>
          <w:p w:rsidR="00E45B56" w:rsidRPr="000F5F7B" w:rsidRDefault="00E45B56" w:rsidP="000F5F7B">
            <w:r w:rsidRPr="00E45B56">
              <w:t>Green wedge</w:t>
            </w:r>
          </w:p>
        </w:tc>
        <w:tc>
          <w:tcPr>
            <w:tcW w:w="6382" w:type="dxa"/>
          </w:tcPr>
          <w:p w:rsidR="00E45B56" w:rsidRPr="009B3FBF" w:rsidRDefault="00E45B56" w:rsidP="00E45B56">
            <w:r w:rsidRPr="00E45B56">
              <w:t>‘Green wedges are the open landscapes that were set aside, more</w:t>
            </w:r>
            <w:r>
              <w:t xml:space="preserve"> </w:t>
            </w:r>
            <w:r w:rsidRPr="00E45B56">
              <w:t>than 30 years ago, to conserve rural activities and significant natural</w:t>
            </w:r>
            <w:r>
              <w:t xml:space="preserve"> </w:t>
            </w:r>
            <w:r w:rsidRPr="00E45B56">
              <w:t>features and resources between the growth areas of metropolitan</w:t>
            </w:r>
            <w:r>
              <w:t xml:space="preserve"> </w:t>
            </w:r>
            <w:r w:rsidRPr="00E45B56">
              <w:t>Melbourne as they spread out along major roads and rail links.’</w:t>
            </w:r>
            <w:r>
              <w:t xml:space="preserve"> </w:t>
            </w:r>
            <w:r w:rsidRPr="00E45B56">
              <w:t>(DPCD 2008)</w:t>
            </w:r>
          </w:p>
        </w:tc>
      </w:tr>
      <w:tr w:rsidR="00E45B56" w:rsidTr="000F5F7B">
        <w:tc>
          <w:tcPr>
            <w:tcW w:w="3266" w:type="dxa"/>
          </w:tcPr>
          <w:p w:rsidR="00E45B56" w:rsidRPr="000F5F7B" w:rsidRDefault="00E45B56" w:rsidP="00E45B56">
            <w:r w:rsidRPr="00E45B56">
              <w:t>Green wedge</w:t>
            </w:r>
            <w:r>
              <w:t xml:space="preserve"> </w:t>
            </w:r>
            <w:r w:rsidRPr="00E45B56">
              <w:t>management plan</w:t>
            </w:r>
            <w:r>
              <w:t xml:space="preserve"> </w:t>
            </w:r>
            <w:r w:rsidRPr="00E45B56">
              <w:t>(GWMP)</w:t>
            </w:r>
          </w:p>
        </w:tc>
        <w:tc>
          <w:tcPr>
            <w:tcW w:w="6382" w:type="dxa"/>
          </w:tcPr>
          <w:p w:rsidR="00E45B56" w:rsidRPr="009B3FBF" w:rsidRDefault="00E45B56" w:rsidP="00E45B56">
            <w:r w:rsidRPr="00E45B56">
              <w:t>The GWMP sets out objectives, strategies and actions to manage</w:t>
            </w:r>
            <w:r>
              <w:t xml:space="preserve"> </w:t>
            </w:r>
            <w:r w:rsidRPr="00E45B56">
              <w:t>the Nillumbik Green Wedge</w:t>
            </w:r>
          </w:p>
        </w:tc>
      </w:tr>
      <w:tr w:rsidR="00E45B56" w:rsidTr="000F5F7B">
        <w:tc>
          <w:tcPr>
            <w:tcW w:w="3266" w:type="dxa"/>
          </w:tcPr>
          <w:p w:rsidR="00E45B56" w:rsidRPr="000F5F7B" w:rsidRDefault="00E45B56" w:rsidP="000F5F7B">
            <w:r w:rsidRPr="00E45B56">
              <w:t>Heritage values</w:t>
            </w:r>
          </w:p>
        </w:tc>
        <w:tc>
          <w:tcPr>
            <w:tcW w:w="6382" w:type="dxa"/>
          </w:tcPr>
          <w:p w:rsidR="00E45B56" w:rsidRPr="009B3FBF" w:rsidRDefault="00E45B56" w:rsidP="000F5F7B">
            <w:r w:rsidRPr="00E45B56">
              <w:t>See cultural significance</w:t>
            </w:r>
          </w:p>
        </w:tc>
      </w:tr>
      <w:tr w:rsidR="00E45B56" w:rsidTr="000F5F7B">
        <w:tc>
          <w:tcPr>
            <w:tcW w:w="3266" w:type="dxa"/>
          </w:tcPr>
          <w:p w:rsidR="00E45B56" w:rsidRPr="000F5F7B" w:rsidRDefault="00E45B56" w:rsidP="000F5F7B">
            <w:r w:rsidRPr="00E45B56">
              <w:t>Intellectual access</w:t>
            </w:r>
          </w:p>
        </w:tc>
        <w:tc>
          <w:tcPr>
            <w:tcW w:w="6382" w:type="dxa"/>
          </w:tcPr>
          <w:p w:rsidR="00E45B56" w:rsidRPr="009B3FBF" w:rsidRDefault="00E45B56" w:rsidP="00E45B56">
            <w:r w:rsidRPr="00E45B56">
              <w:t>This term implies that access to the Nillumbik Green Wedge will not</w:t>
            </w:r>
            <w:r>
              <w:t xml:space="preserve"> </w:t>
            </w:r>
            <w:r w:rsidRPr="00E45B56">
              <w:t>only be physical access but will include interpretation materials</w:t>
            </w:r>
            <w:r>
              <w:t xml:space="preserve"> </w:t>
            </w:r>
            <w:r w:rsidRPr="00E45B56">
              <w:t>suited to a range of different audiences and learning styles. It is in</w:t>
            </w:r>
            <w:r>
              <w:t xml:space="preserve"> </w:t>
            </w:r>
            <w:r w:rsidRPr="00E45B56">
              <w:t>line with interpretation best practice.</w:t>
            </w:r>
          </w:p>
        </w:tc>
      </w:tr>
      <w:tr w:rsidR="00E45B56" w:rsidTr="000F5F7B">
        <w:tc>
          <w:tcPr>
            <w:tcW w:w="3266" w:type="dxa"/>
          </w:tcPr>
          <w:p w:rsidR="00E45B56" w:rsidRPr="00E45B56" w:rsidRDefault="00E45B56" w:rsidP="000F5F7B">
            <w:r w:rsidRPr="00E45B56">
              <w:t>Interface councils</w:t>
            </w:r>
          </w:p>
        </w:tc>
        <w:tc>
          <w:tcPr>
            <w:tcW w:w="6382" w:type="dxa"/>
          </w:tcPr>
          <w:p w:rsidR="00E45B56" w:rsidRPr="00E45B56" w:rsidRDefault="00E45B56" w:rsidP="00E45B56">
            <w:r w:rsidRPr="00E45B56">
              <w:t>The interface councils are located on the fringes of Melbourne. They</w:t>
            </w:r>
            <w:r>
              <w:t xml:space="preserve"> </w:t>
            </w:r>
            <w:r w:rsidRPr="00E45B56">
              <w:t>are Cardinia, Hume, Melton, Mornington Peninsula, Nillumbik,</w:t>
            </w:r>
            <w:r>
              <w:t xml:space="preserve"> </w:t>
            </w:r>
            <w:r w:rsidRPr="00E45B56">
              <w:t>Whittlesea, Wyndham and Yarra Ranges. These councils define</w:t>
            </w:r>
            <w:r>
              <w:t xml:space="preserve"> </w:t>
            </w:r>
            <w:r w:rsidRPr="00E45B56">
              <w:t>themselves as 30 per cent urban and 70 per cent rural, forming the</w:t>
            </w:r>
            <w:r>
              <w:t xml:space="preserve"> </w:t>
            </w:r>
            <w:r w:rsidRPr="00E45B56">
              <w:t>interface between regional and metropolitan Victoria.</w:t>
            </w:r>
          </w:p>
        </w:tc>
      </w:tr>
      <w:tr w:rsidR="00E45B56" w:rsidTr="000F5F7B">
        <w:tc>
          <w:tcPr>
            <w:tcW w:w="3266" w:type="dxa"/>
          </w:tcPr>
          <w:p w:rsidR="00E45B56" w:rsidRPr="00E45B56" w:rsidRDefault="00E45B56" w:rsidP="000F5F7B">
            <w:r w:rsidRPr="00E45B56">
              <w:t>Landscape values</w:t>
            </w:r>
          </w:p>
        </w:tc>
        <w:tc>
          <w:tcPr>
            <w:tcW w:w="6382" w:type="dxa"/>
          </w:tcPr>
          <w:p w:rsidR="00E45B56" w:rsidRPr="00E45B56" w:rsidRDefault="00E45B56" w:rsidP="00E45B56">
            <w:r w:rsidRPr="00E45B56">
              <w:t>The value of a landscape is a combination of vegetative cover and</w:t>
            </w:r>
            <w:r>
              <w:t xml:space="preserve"> </w:t>
            </w:r>
            <w:r w:rsidRPr="00E45B56">
              <w:t>wildlife and visual qualities, including landform features and views</w:t>
            </w:r>
            <w:r>
              <w:t xml:space="preserve"> </w:t>
            </w:r>
            <w:r w:rsidRPr="00E45B56">
              <w:t>and the value placed on it by a community or communities.</w:t>
            </w:r>
            <w:r>
              <w:t xml:space="preserve"> </w:t>
            </w:r>
            <w:r w:rsidRPr="00E45B56">
              <w:t>Landscape values contribute greatly to amenity and are an attraction</w:t>
            </w:r>
            <w:r>
              <w:t xml:space="preserve"> </w:t>
            </w:r>
            <w:r w:rsidRPr="00E45B56">
              <w:t>for residents and visitors.</w:t>
            </w:r>
          </w:p>
        </w:tc>
      </w:tr>
      <w:tr w:rsidR="00E45B56" w:rsidTr="000F5F7B">
        <w:tc>
          <w:tcPr>
            <w:tcW w:w="3266" w:type="dxa"/>
          </w:tcPr>
          <w:p w:rsidR="00E45B56" w:rsidRPr="00E45B56" w:rsidRDefault="00E45B56" w:rsidP="000F5F7B">
            <w:r w:rsidRPr="00E45B56">
              <w:t>LGA</w:t>
            </w:r>
          </w:p>
        </w:tc>
        <w:tc>
          <w:tcPr>
            <w:tcW w:w="6382" w:type="dxa"/>
          </w:tcPr>
          <w:p w:rsidR="00E45B56" w:rsidRPr="00E45B56" w:rsidRDefault="00E45B56" w:rsidP="00E45B56">
            <w:r w:rsidRPr="00E45B56">
              <w:t>Local Government Association</w:t>
            </w:r>
          </w:p>
        </w:tc>
      </w:tr>
      <w:tr w:rsidR="00E45B56" w:rsidTr="000F5F7B">
        <w:tc>
          <w:tcPr>
            <w:tcW w:w="3266" w:type="dxa"/>
          </w:tcPr>
          <w:p w:rsidR="00E45B56" w:rsidRPr="00E45B56" w:rsidRDefault="00E45B56" w:rsidP="00E45B56">
            <w:r w:rsidRPr="00E45B56">
              <w:t>Melbourne 2030</w:t>
            </w:r>
            <w:r>
              <w:t xml:space="preserve"> </w:t>
            </w:r>
            <w:r w:rsidRPr="00E45B56">
              <w:t>(M2030)</w:t>
            </w:r>
          </w:p>
        </w:tc>
        <w:tc>
          <w:tcPr>
            <w:tcW w:w="6382" w:type="dxa"/>
          </w:tcPr>
          <w:p w:rsidR="00E45B56" w:rsidRPr="00E45B56" w:rsidRDefault="00E45B56" w:rsidP="00E45B56">
            <w:r w:rsidRPr="00E45B56">
              <w:t>The Victorian Government’s planning strategy for Melbourne.</w:t>
            </w:r>
          </w:p>
        </w:tc>
      </w:tr>
      <w:tr w:rsidR="00E45B56" w:rsidTr="000F5F7B">
        <w:tc>
          <w:tcPr>
            <w:tcW w:w="3266" w:type="dxa"/>
          </w:tcPr>
          <w:p w:rsidR="00E45B56" w:rsidRPr="00E45B56" w:rsidRDefault="00E45B56" w:rsidP="00E45B56">
            <w:r w:rsidRPr="00E45B56">
              <w:t>Municipal Strategic</w:t>
            </w:r>
            <w:r>
              <w:t xml:space="preserve"> </w:t>
            </w:r>
            <w:r w:rsidRPr="00E45B56">
              <w:t>Statement (MSS)</w:t>
            </w:r>
          </w:p>
        </w:tc>
        <w:tc>
          <w:tcPr>
            <w:tcW w:w="6382" w:type="dxa"/>
          </w:tcPr>
          <w:p w:rsidR="00E45B56" w:rsidRPr="00E45B56" w:rsidRDefault="00E45B56" w:rsidP="00E45B56">
            <w:r w:rsidRPr="00E45B56">
              <w:t>A statutory document that guides future land use and development</w:t>
            </w:r>
            <w:r>
              <w:t xml:space="preserve"> </w:t>
            </w:r>
            <w:r w:rsidRPr="00E45B56">
              <w:t>in the Shire of Nillumbik.</w:t>
            </w:r>
          </w:p>
        </w:tc>
      </w:tr>
      <w:tr w:rsidR="00E45B56" w:rsidTr="000F5F7B">
        <w:tc>
          <w:tcPr>
            <w:tcW w:w="3266" w:type="dxa"/>
          </w:tcPr>
          <w:p w:rsidR="00E45B56" w:rsidRPr="00E45B56" w:rsidRDefault="00E45B56" w:rsidP="000F5F7B">
            <w:r w:rsidRPr="00E45B56">
              <w:t>Peak oil</w:t>
            </w:r>
          </w:p>
        </w:tc>
        <w:tc>
          <w:tcPr>
            <w:tcW w:w="6382" w:type="dxa"/>
          </w:tcPr>
          <w:p w:rsidR="00E45B56" w:rsidRPr="00E45B56" w:rsidRDefault="00E45B56" w:rsidP="00E45B56">
            <w:r w:rsidRPr="00E45B56">
              <w:t>Peak oil is the point in time when the maximum rate of global</w:t>
            </w:r>
            <w:r>
              <w:t xml:space="preserve"> </w:t>
            </w:r>
            <w:r w:rsidRPr="00E45B56">
              <w:t xml:space="preserve">petroleum extraction is reached, after which the </w:t>
            </w:r>
            <w:r w:rsidRPr="00E45B56">
              <w:lastRenderedPageBreak/>
              <w:t>rate of production</w:t>
            </w:r>
            <w:r>
              <w:t xml:space="preserve"> </w:t>
            </w:r>
            <w:r w:rsidRPr="00E45B56">
              <w:t>enters terminal decline.</w:t>
            </w:r>
          </w:p>
        </w:tc>
      </w:tr>
      <w:tr w:rsidR="00E45B56" w:rsidTr="000F5F7B">
        <w:tc>
          <w:tcPr>
            <w:tcW w:w="3266" w:type="dxa"/>
          </w:tcPr>
          <w:p w:rsidR="00E45B56" w:rsidRPr="00E45B56" w:rsidRDefault="00E45B56" w:rsidP="000F5F7B">
            <w:r w:rsidRPr="00E45B56">
              <w:lastRenderedPageBreak/>
              <w:t>SEIFA</w:t>
            </w:r>
          </w:p>
        </w:tc>
        <w:tc>
          <w:tcPr>
            <w:tcW w:w="6382" w:type="dxa"/>
          </w:tcPr>
          <w:p w:rsidR="00E45B56" w:rsidRPr="00E45B56" w:rsidRDefault="00E45B56" w:rsidP="00E45B56">
            <w:r w:rsidRPr="00E45B56">
              <w:t>Social Economic Index for Areas is an analytical tool used to assess</w:t>
            </w:r>
            <w:r>
              <w:t xml:space="preserve"> </w:t>
            </w:r>
            <w:r w:rsidRPr="00E45B56">
              <w:t>socio-economic wellbeing and identify areas of advantage and</w:t>
            </w:r>
            <w:r>
              <w:t xml:space="preserve"> </w:t>
            </w:r>
            <w:r w:rsidRPr="00E45B56">
              <w:t>disadvantage.</w:t>
            </w:r>
          </w:p>
        </w:tc>
      </w:tr>
      <w:tr w:rsidR="00E45B56" w:rsidTr="000F5F7B">
        <w:tc>
          <w:tcPr>
            <w:tcW w:w="3266" w:type="dxa"/>
          </w:tcPr>
          <w:p w:rsidR="00E45B56" w:rsidRPr="00E45B56" w:rsidRDefault="00E45B56" w:rsidP="000F5F7B">
            <w:r w:rsidRPr="00E45B56">
              <w:t>SLA</w:t>
            </w:r>
          </w:p>
        </w:tc>
        <w:tc>
          <w:tcPr>
            <w:tcW w:w="6382" w:type="dxa"/>
          </w:tcPr>
          <w:p w:rsidR="00E45B56" w:rsidRPr="00E45B56" w:rsidRDefault="00E45B56" w:rsidP="00E45B56">
            <w:r w:rsidRPr="00E45B56">
              <w:t>Statistical Local Area</w:t>
            </w:r>
          </w:p>
        </w:tc>
      </w:tr>
      <w:tr w:rsidR="00E45B56" w:rsidTr="000F5F7B">
        <w:tc>
          <w:tcPr>
            <w:tcW w:w="3266" w:type="dxa"/>
          </w:tcPr>
          <w:p w:rsidR="00E45B56" w:rsidRPr="00E45B56" w:rsidRDefault="00E45B56" w:rsidP="000F5F7B">
            <w:r w:rsidRPr="00E45B56">
              <w:t>Sustainability</w:t>
            </w:r>
          </w:p>
        </w:tc>
        <w:tc>
          <w:tcPr>
            <w:tcW w:w="6382" w:type="dxa"/>
          </w:tcPr>
          <w:p w:rsidR="00E45B56" w:rsidRPr="00E45B56" w:rsidRDefault="00E45B56" w:rsidP="00E45B56">
            <w:r w:rsidRPr="00E45B56">
              <w:t>Refers in its simplest form to the utilisation of resources at a level</w:t>
            </w:r>
            <w:r>
              <w:t xml:space="preserve"> </w:t>
            </w:r>
            <w:r w:rsidRPr="00E45B56">
              <w:t>that can be maintained into the distant future and in a manner that</w:t>
            </w:r>
            <w:r>
              <w:t xml:space="preserve"> </w:t>
            </w:r>
            <w:r w:rsidRPr="00E45B56">
              <w:t>does not irreversibly damage natural ecosystems and human</w:t>
            </w:r>
            <w:r>
              <w:t xml:space="preserve"> </w:t>
            </w:r>
            <w:r w:rsidRPr="00E45B56">
              <w:t>societies.</w:t>
            </w:r>
          </w:p>
        </w:tc>
      </w:tr>
      <w:tr w:rsidR="00E45B56" w:rsidTr="000F5F7B">
        <w:tc>
          <w:tcPr>
            <w:tcW w:w="3266" w:type="dxa"/>
          </w:tcPr>
          <w:p w:rsidR="00E45B56" w:rsidRPr="00E45B56" w:rsidRDefault="00E45B56" w:rsidP="000F5F7B">
            <w:r w:rsidRPr="00E45B56">
              <w:t>Sustainable tourism</w:t>
            </w:r>
          </w:p>
        </w:tc>
        <w:tc>
          <w:tcPr>
            <w:tcW w:w="6382" w:type="dxa"/>
          </w:tcPr>
          <w:p w:rsidR="00E45B56" w:rsidRPr="00E45B56" w:rsidRDefault="00E45B56" w:rsidP="00E45B56">
            <w:r w:rsidRPr="00E45B56">
              <w:t>‘Sustainable tourism development meets the needs of present</w:t>
            </w:r>
            <w:r>
              <w:t xml:space="preserve"> </w:t>
            </w:r>
            <w:r w:rsidRPr="00E45B56">
              <w:t>tourists and host regions while protecting and enhancing</w:t>
            </w:r>
            <w:r>
              <w:t xml:space="preserve"> </w:t>
            </w:r>
            <w:r w:rsidRPr="00E45B56">
              <w:t>opportunities for the future. It is envisaged as leading to</w:t>
            </w:r>
            <w:r>
              <w:t xml:space="preserve"> </w:t>
            </w:r>
            <w:r w:rsidRPr="00E45B56">
              <w:t>management of all resources in such a way that economic, social</w:t>
            </w:r>
            <w:r>
              <w:t xml:space="preserve"> </w:t>
            </w:r>
            <w:r w:rsidRPr="00E45B56">
              <w:t>and aesthetic needs can be fulfilled while maintaining cultural</w:t>
            </w:r>
            <w:r>
              <w:t xml:space="preserve"> </w:t>
            </w:r>
            <w:r w:rsidRPr="00E45B56">
              <w:t>integrity, essential ecological processes, biological diversity and life</w:t>
            </w:r>
            <w:r>
              <w:t xml:space="preserve"> </w:t>
            </w:r>
            <w:r w:rsidRPr="00E45B56">
              <w:t>support systems’ (Department of Environment and Heritage 2004).</w:t>
            </w:r>
          </w:p>
        </w:tc>
      </w:tr>
      <w:tr w:rsidR="00E45B56" w:rsidTr="000F5F7B">
        <w:tc>
          <w:tcPr>
            <w:tcW w:w="3266" w:type="dxa"/>
          </w:tcPr>
          <w:p w:rsidR="00E45B56" w:rsidRPr="00E45B56" w:rsidRDefault="00E45B56" w:rsidP="000F5F7B">
            <w:r w:rsidRPr="00E45B56">
              <w:t>Technical viability</w:t>
            </w:r>
          </w:p>
        </w:tc>
        <w:tc>
          <w:tcPr>
            <w:tcW w:w="6382" w:type="dxa"/>
          </w:tcPr>
          <w:p w:rsidR="00E45B56" w:rsidRPr="00E45B56" w:rsidRDefault="00E45B56" w:rsidP="00E45B56">
            <w:r w:rsidRPr="00E45B56">
              <w:t>See Agricultural or farm viability.</w:t>
            </w:r>
          </w:p>
        </w:tc>
      </w:tr>
      <w:tr w:rsidR="00E45B56" w:rsidTr="000F5F7B">
        <w:tc>
          <w:tcPr>
            <w:tcW w:w="3266" w:type="dxa"/>
          </w:tcPr>
          <w:p w:rsidR="00E45B56" w:rsidRPr="00E45B56" w:rsidRDefault="00E45B56" w:rsidP="00E45B56">
            <w:r w:rsidRPr="00E45B56">
              <w:t>UGB (urban growth</w:t>
            </w:r>
            <w:r>
              <w:t xml:space="preserve"> </w:t>
            </w:r>
            <w:r w:rsidRPr="00E45B56">
              <w:t>boundary)</w:t>
            </w:r>
          </w:p>
        </w:tc>
        <w:tc>
          <w:tcPr>
            <w:tcW w:w="6382" w:type="dxa"/>
          </w:tcPr>
          <w:p w:rsidR="00E45B56" w:rsidRPr="00E45B56" w:rsidRDefault="00E45B56" w:rsidP="00E45B56">
            <w:r w:rsidRPr="00E45B56">
              <w:t>The urban growth boundary is a tool that the government introduced</w:t>
            </w:r>
            <w:r>
              <w:t xml:space="preserve"> </w:t>
            </w:r>
            <w:r w:rsidRPr="00E45B56">
              <w:t>in 2002 to help contain Melbourne’s outward growth.</w:t>
            </w:r>
          </w:p>
        </w:tc>
      </w:tr>
    </w:tbl>
    <w:p w:rsidR="000F5F7B" w:rsidRDefault="00E45B56" w:rsidP="00E45B56">
      <w:pPr>
        <w:pStyle w:val="Heading4"/>
      </w:pPr>
      <w:r w:rsidRPr="00E45B56">
        <w:t>Bibliography</w:t>
      </w:r>
    </w:p>
    <w:p w:rsidR="00E45B56" w:rsidRPr="00E45B56" w:rsidRDefault="00E45B56" w:rsidP="00E45B56">
      <w:r w:rsidRPr="00E45B56">
        <w:t>Australian Bureau of Statistics, Population projections</w:t>
      </w:r>
      <w:r>
        <w:t xml:space="preserve"> </w:t>
      </w:r>
      <w:r w:rsidRPr="00E45B56">
        <w:t>&lt;</w:t>
      </w:r>
      <w:hyperlink r:id="rId15" w:history="1">
        <w:r w:rsidRPr="00D63A2B">
          <w:rPr>
            <w:rStyle w:val="Hyperlink"/>
            <w:color w:val="000000"/>
          </w:rPr>
          <w:t>http://www.abs.gov.au/Ausstats/abs@.nsf/mf/3222.0</w:t>
        </w:r>
      </w:hyperlink>
      <w:r w:rsidRPr="00E45B56">
        <w:t>&gt;, viewed 30 October 2008</w:t>
      </w:r>
    </w:p>
    <w:p w:rsidR="00E45B56" w:rsidRPr="00E45B56" w:rsidRDefault="00E45B56" w:rsidP="00E45B56">
      <w:r w:rsidRPr="00E45B56">
        <w:t>Australian Bureau of Statistics 2007, 2006 Census, ABS,</w:t>
      </w:r>
      <w:r>
        <w:t xml:space="preserve"> </w:t>
      </w:r>
      <w:hyperlink r:id="rId16" w:history="1">
        <w:r w:rsidRPr="00D63A2B">
          <w:rPr>
            <w:rStyle w:val="Hyperlink"/>
            <w:color w:val="000000"/>
          </w:rPr>
          <w:t>http://wwww.id.com.au/profile/default.aspx?id=140</w:t>
        </w:r>
      </w:hyperlink>
      <w:r w:rsidRPr="00E45B56">
        <w:t>, viewed 16 March 2009</w:t>
      </w:r>
    </w:p>
    <w:p w:rsidR="00E45B56" w:rsidRPr="00E45B56" w:rsidRDefault="00E45B56" w:rsidP="00E45B56">
      <w:r w:rsidRPr="00E45B56">
        <w:t>Australian Natural Heritage Charter</w:t>
      </w:r>
      <w:r>
        <w:t xml:space="preserve"> </w:t>
      </w:r>
      <w:r w:rsidRPr="00E45B56">
        <w:t>&lt;</w:t>
      </w:r>
      <w:hyperlink r:id="rId17" w:history="1">
        <w:r w:rsidRPr="00D63A2B">
          <w:rPr>
            <w:rStyle w:val="Hyperlink"/>
            <w:color w:val="000000"/>
          </w:rPr>
          <w:t>http://www.environment.gov.au/heritage/ahc/publications/commission/books/australian-national-heritage-charter.html</w:t>
        </w:r>
      </w:hyperlink>
      <w:r w:rsidRPr="00E45B56">
        <w:t>&gt;</w:t>
      </w:r>
    </w:p>
    <w:p w:rsidR="00E45B56" w:rsidRPr="00E45B56" w:rsidRDefault="00E45B56" w:rsidP="00E45B56">
      <w:r w:rsidRPr="00E45B56">
        <w:t>‘Australians ranked among the world’s worst eco-offenders’, The Age, 30 October</w:t>
      </w:r>
      <w:r w:rsidR="00D63A2B">
        <w:t xml:space="preserve"> </w:t>
      </w:r>
      <w:r w:rsidRPr="00E45B56">
        <w:t>2008, p. 5</w:t>
      </w:r>
    </w:p>
    <w:p w:rsidR="00E45B56" w:rsidRPr="00E45B56" w:rsidRDefault="00E45B56" w:rsidP="00E45B56">
      <w:proofErr w:type="spellStart"/>
      <w:r w:rsidRPr="00E45B56">
        <w:t>Beardsell</w:t>
      </w:r>
      <w:proofErr w:type="spellEnd"/>
      <w:r w:rsidRPr="00E45B56">
        <w:t>, C 1997, Sites of faunal and habitat significance in north-east Melbourne,</w:t>
      </w:r>
      <w:r w:rsidR="00D63A2B">
        <w:t xml:space="preserve"> </w:t>
      </w:r>
      <w:r w:rsidRPr="00E45B56">
        <w:t>Nillumbik Shire Council, Greensborough</w:t>
      </w:r>
    </w:p>
    <w:p w:rsidR="00E45B56" w:rsidRPr="00E45B56" w:rsidRDefault="00E45B56" w:rsidP="00E45B56">
      <w:r w:rsidRPr="00E45B56">
        <w:t>Butler, G &amp; Associates 1996, Nillumbik Shire Heritage Study: Environmental History</w:t>
      </w:r>
      <w:r w:rsidR="00D63A2B">
        <w:t xml:space="preserve"> </w:t>
      </w:r>
      <w:r w:rsidRPr="00E45B56">
        <w:t>Stage 1, Vol. 2</w:t>
      </w:r>
    </w:p>
    <w:p w:rsidR="00E45B56" w:rsidRPr="00E45B56" w:rsidRDefault="00E45B56" w:rsidP="00E45B56">
      <w:r w:rsidRPr="00E45B56">
        <w:lastRenderedPageBreak/>
        <w:t>Clark, N &amp; Associates 1998, Nillumbik Shire commodity and economic profiles,</w:t>
      </w:r>
      <w:r w:rsidR="00D63A2B">
        <w:t xml:space="preserve"> </w:t>
      </w:r>
      <w:r w:rsidRPr="00E45B56">
        <w:t>Nillumbik Shire Council, Greensborough</w:t>
      </w:r>
    </w:p>
    <w:p w:rsidR="00E45B56" w:rsidRPr="00E45B56" w:rsidRDefault="00E45B56" w:rsidP="00E45B56">
      <w:r w:rsidRPr="00E45B56">
        <w:t>Commissioner for Environmental Sustainability 2008, Victoria – State of the</w:t>
      </w:r>
      <w:r w:rsidR="00D63A2B">
        <w:t xml:space="preserve"> </w:t>
      </w:r>
      <w:r w:rsidRPr="00E45B56">
        <w:t>Environment, Victorian Government, Melbourne</w:t>
      </w:r>
    </w:p>
    <w:p w:rsidR="00E45B56" w:rsidRPr="00E45B56" w:rsidRDefault="00E45B56" w:rsidP="00E45B56">
      <w:r w:rsidRPr="00E45B56">
        <w:t>Context Pty Ltd August 2008, Knox City Council: 2008–2018 Sustainable</w:t>
      </w:r>
      <w:r w:rsidR="00D63A2B">
        <w:t xml:space="preserve"> </w:t>
      </w:r>
      <w:r w:rsidRPr="00E45B56">
        <w:t>Environment Strategy, Knox City Council,</w:t>
      </w:r>
      <w:r w:rsidR="00D63A2B">
        <w:t xml:space="preserve"> </w:t>
      </w:r>
      <w:hyperlink r:id="rId18" w:history="1">
        <w:r w:rsidRPr="00D63A2B">
          <w:rPr>
            <w:rStyle w:val="Hyperlink"/>
            <w:color w:val="000000"/>
          </w:rPr>
          <w:t>&lt;www.knox.vic.gov.au/Page/Download.asp?name=Knox_Sustainable_Environment_Strategy.pdf&amp;size=1419406&amp;link=../Files/Knox_Sustainable_Environment_Strategy.pdf&gt;</w:t>
        </w:r>
      </w:hyperlink>
    </w:p>
    <w:p w:rsidR="00E45B56" w:rsidRPr="00E45B56" w:rsidRDefault="00E45B56" w:rsidP="00E45B56">
      <w:r w:rsidRPr="00E45B56">
        <w:t>Countryside Agency and Scottish Natural Heritage 2002, Landscape Character</w:t>
      </w:r>
      <w:r w:rsidR="00D63A2B">
        <w:t xml:space="preserve"> </w:t>
      </w:r>
      <w:r w:rsidRPr="00E45B56">
        <w:t>Assessment: Guidance for England and Scotland,</w:t>
      </w:r>
      <w:r w:rsidR="00D63A2B">
        <w:t xml:space="preserve"> </w:t>
      </w:r>
      <w:hyperlink r:id="rId19" w:history="1">
        <w:r w:rsidRPr="00D63A2B">
          <w:rPr>
            <w:rStyle w:val="Hyperlink"/>
            <w:color w:val="000000"/>
          </w:rPr>
          <w:t>&lt;http://www.countryside.gov.uk/images/LCA_guidance_tcm2-19316.pdf&gt;</w:t>
        </w:r>
      </w:hyperlink>
      <w:r w:rsidRPr="00D63A2B">
        <w:rPr>
          <w:color w:val="000000"/>
        </w:rPr>
        <w:t>,</w:t>
      </w:r>
      <w:r w:rsidR="00D63A2B">
        <w:t xml:space="preserve"> </w:t>
      </w:r>
      <w:r w:rsidRPr="00E45B56">
        <w:t>viewed 25 May 2007</w:t>
      </w:r>
    </w:p>
    <w:p w:rsidR="00E45B56" w:rsidRPr="00E45B56" w:rsidRDefault="00E45B56" w:rsidP="00E45B56">
      <w:r w:rsidRPr="00E45B56">
        <w:t>Countryside Agency 2006, Landscape: beyond the view,</w:t>
      </w:r>
      <w:r w:rsidR="00D63A2B">
        <w:t xml:space="preserve"> </w:t>
      </w:r>
      <w:hyperlink r:id="rId20" w:history="1">
        <w:r w:rsidR="00D63A2B" w:rsidRPr="00D63A2B">
          <w:rPr>
            <w:rStyle w:val="Hyperlink"/>
            <w:color w:val="000000"/>
          </w:rPr>
          <w:t>http://www.landscapecharacter.org.uk</w:t>
        </w:r>
      </w:hyperlink>
      <w:r w:rsidR="00D63A2B">
        <w:t xml:space="preserve"> </w:t>
      </w:r>
      <w:r w:rsidRPr="00E45B56">
        <w:t>viewed 25 May 2007</w:t>
      </w:r>
    </w:p>
    <w:p w:rsidR="00E45B56" w:rsidRPr="00E45B56" w:rsidRDefault="00E45B56" w:rsidP="00E45B56">
      <w:r w:rsidRPr="00E45B56">
        <w:t>Department of Environment and Heritage 2004, Steps to sustainable tourism,</w:t>
      </w:r>
      <w:r w:rsidR="00D63A2B">
        <w:t xml:space="preserve"> </w:t>
      </w:r>
      <w:r w:rsidRPr="00E45B56">
        <w:t>Department of Environment and Heritage, Canberra</w:t>
      </w:r>
    </w:p>
    <w:p w:rsidR="00E45B56" w:rsidRPr="00E45B56" w:rsidRDefault="00E45B56" w:rsidP="00E45B56">
      <w:r w:rsidRPr="00E45B56">
        <w:t>Department of the Environment, Sport and Territories 1996, National Strategy for the</w:t>
      </w:r>
      <w:r w:rsidR="00D63A2B">
        <w:t xml:space="preserve"> </w:t>
      </w:r>
      <w:r w:rsidRPr="00E45B56">
        <w:t>Conservation of Australia's Biological Diversity,</w:t>
      </w:r>
      <w:r w:rsidR="00D63A2B">
        <w:t xml:space="preserve"> </w:t>
      </w:r>
      <w:hyperlink r:id="rId21" w:history="1">
        <w:r w:rsidR="00D63A2B" w:rsidRPr="00D63A2B">
          <w:rPr>
            <w:rStyle w:val="Hyperlink"/>
            <w:color w:val="000000"/>
          </w:rPr>
          <w:t>http:/www.environment.gov.au/biodiversity/publications/strategy/chap2.html</w:t>
        </w:r>
      </w:hyperlink>
      <w:r w:rsidR="00D63A2B">
        <w:t xml:space="preserve"> </w:t>
      </w:r>
      <w:r w:rsidRPr="00E45B56">
        <w:t>viewed 7 May 2008, Department of Environment, Sport and Territories, Canberra</w:t>
      </w:r>
    </w:p>
    <w:p w:rsidR="00E45B56" w:rsidRDefault="00E45B56" w:rsidP="00E45B56">
      <w:r w:rsidRPr="00E45B56">
        <w:t>Department of Human Services (Victoria) 2001, Environments for health – promoting</w:t>
      </w:r>
      <w:r w:rsidR="00D63A2B">
        <w:t xml:space="preserve"> </w:t>
      </w:r>
      <w:r w:rsidRPr="00E45B56">
        <w:t>health and wellbeing through built, social, eco</w:t>
      </w:r>
      <w:r w:rsidR="00D63A2B">
        <w:t xml:space="preserve">nomic and natural environments: </w:t>
      </w:r>
      <w:r w:rsidRPr="00E45B56">
        <w:t>municipal health planning framework, DHS, Melbourne</w:t>
      </w:r>
    </w:p>
    <w:p w:rsidR="00D63A2B" w:rsidRPr="00D63A2B" w:rsidRDefault="00D63A2B" w:rsidP="00D63A2B">
      <w:r w:rsidRPr="00D63A2B">
        <w:t>Department of Planning and Community Development (Victoria) 2008a, Planning for</w:t>
      </w:r>
      <w:r>
        <w:t xml:space="preserve"> </w:t>
      </w:r>
      <w:r w:rsidRPr="00D63A2B">
        <w:t>all of Melbourne, the Victorian Government response to the Melbourne 2030 audit,</w:t>
      </w:r>
      <w:r>
        <w:t xml:space="preserve"> </w:t>
      </w:r>
      <w:r w:rsidRPr="00D63A2B">
        <w:t>DPCD, Melbourne</w:t>
      </w:r>
    </w:p>
    <w:p w:rsidR="00D63A2B" w:rsidRPr="00D63A2B" w:rsidRDefault="00D63A2B" w:rsidP="00D63A2B">
      <w:r w:rsidRPr="00D63A2B">
        <w:t xml:space="preserve">Department of Planning and Community Development (Victoria) 2008b, </w:t>
      </w:r>
      <w:r>
        <w:t xml:space="preserve">Melbourne </w:t>
      </w:r>
      <w:r w:rsidRPr="00D63A2B">
        <w:t>@ 5 Million – full report,</w:t>
      </w:r>
      <w:r>
        <w:t xml:space="preserve"> </w:t>
      </w:r>
      <w:r w:rsidRPr="00D63A2B">
        <w:t>&lt;</w:t>
      </w:r>
      <w:hyperlink r:id="rId22" w:history="1">
        <w:r w:rsidRPr="00D63A2B">
          <w:rPr>
            <w:rStyle w:val="Hyperlink"/>
            <w:color w:val="000000"/>
          </w:rPr>
          <w:t>http://www.dse.vic.gov.au/DSE/nrenpl.nsf/LinkView/1352EB2F109044AFCA2575120016BE8B718331E8AB7D9987CA256D1900299B45</w:t>
        </w:r>
      </w:hyperlink>
      <w:r>
        <w:t xml:space="preserve">&gt;, </w:t>
      </w:r>
      <w:r w:rsidRPr="00D63A2B">
        <w:t>DPCD, Melbourne, viewed</w:t>
      </w:r>
      <w:r>
        <w:t xml:space="preserve"> </w:t>
      </w:r>
      <w:r w:rsidRPr="00D63A2B">
        <w:t>11 March 2009</w:t>
      </w:r>
    </w:p>
    <w:p w:rsidR="00D63A2B" w:rsidRPr="00D63A2B" w:rsidRDefault="00D63A2B" w:rsidP="00D63A2B">
      <w:r w:rsidRPr="00D63A2B">
        <w:t>Department of Planning and Community Development (Victoria) 2008c, Melbourne</w:t>
      </w:r>
      <w:r>
        <w:t xml:space="preserve"> </w:t>
      </w:r>
      <w:r w:rsidRPr="00D63A2B">
        <w:t>@ 5 Million – Fact Sheet,</w:t>
      </w:r>
      <w:r>
        <w:t xml:space="preserve"> </w:t>
      </w:r>
      <w:r w:rsidRPr="00D63A2B">
        <w:rPr>
          <w:color w:val="000000"/>
        </w:rPr>
        <w:t>&lt;</w:t>
      </w:r>
      <w:hyperlink r:id="rId23" w:history="1">
        <w:r w:rsidRPr="00D63A2B">
          <w:rPr>
            <w:rStyle w:val="Hyperlink"/>
            <w:color w:val="000000"/>
          </w:rPr>
          <w:t>http://www.dse.vic.gov.au/DSE/nrenpl.nsf/LinkView/1352EB2F109044AFCA2575120016BE8B718331E8AB7D9987CA256D1900299B45</w:t>
        </w:r>
      </w:hyperlink>
      <w:r w:rsidRPr="00D63A2B">
        <w:t>&gt;, DPCD, Melbourne, viewed</w:t>
      </w:r>
      <w:r>
        <w:t xml:space="preserve"> </w:t>
      </w:r>
      <w:r w:rsidRPr="00D63A2B">
        <w:t>15 December 2008</w:t>
      </w:r>
    </w:p>
    <w:p w:rsidR="00D63A2B" w:rsidRPr="00D63A2B" w:rsidRDefault="00D63A2B" w:rsidP="00D63A2B">
      <w:r w:rsidRPr="00D63A2B">
        <w:t>Department of Primary Industries (Victoria) 2008a, Future Farming: Productive,</w:t>
      </w:r>
      <w:r>
        <w:t xml:space="preserve"> </w:t>
      </w:r>
      <w:r w:rsidRPr="00D63A2B">
        <w:t>Competitive, Sustainable, DPI, Melbourne</w:t>
      </w:r>
    </w:p>
    <w:p w:rsidR="00D63A2B" w:rsidRPr="00D63A2B" w:rsidRDefault="00D63A2B" w:rsidP="00D63A2B">
      <w:r w:rsidRPr="00D63A2B">
        <w:lastRenderedPageBreak/>
        <w:t>Department of Primary Industries (Victoria) 2008b, Square Pegs in Green Wedges,</w:t>
      </w:r>
      <w:r>
        <w:t xml:space="preserve"> </w:t>
      </w:r>
      <w:r w:rsidRPr="00D63A2B">
        <w:t xml:space="preserve">DPI, </w:t>
      </w:r>
      <w:proofErr w:type="gramStart"/>
      <w:r w:rsidRPr="00D63A2B">
        <w:t>Melbourne</w:t>
      </w:r>
      <w:proofErr w:type="gramEnd"/>
    </w:p>
    <w:p w:rsidR="00D63A2B" w:rsidRPr="00D63A2B" w:rsidRDefault="00D63A2B" w:rsidP="00D63A2B">
      <w:r w:rsidRPr="00D63A2B">
        <w:t>Department of Sustainability and Environment (Victoria) 1997, Victoria’s Biodiversity</w:t>
      </w:r>
      <w:r>
        <w:t xml:space="preserve"> </w:t>
      </w:r>
      <w:r w:rsidRPr="00D63A2B">
        <w:t>Strategy – Sustaining our Living Wealth, DSE,</w:t>
      </w:r>
      <w:r>
        <w:t xml:space="preserve"> </w:t>
      </w:r>
      <w:r w:rsidRPr="00D63A2B">
        <w:rPr>
          <w:color w:val="000000"/>
        </w:rPr>
        <w:t>&lt;</w:t>
      </w:r>
      <w:hyperlink r:id="rId24" w:history="1">
        <w:r w:rsidRPr="00D63A2B">
          <w:rPr>
            <w:rStyle w:val="Hyperlink"/>
            <w:color w:val="000000"/>
          </w:rPr>
          <w:t>http://www.dse.vic.gov.au/dse/nrence.nsf/LinkView/EFAC7933C595DA23CA256EE7000B6CCC1C26CB3A9ABC1C2FCA256EE700148D0B</w:t>
        </w:r>
      </w:hyperlink>
      <w:r w:rsidRPr="00D63A2B">
        <w:t>&gt;, viewed 8 May 2008</w:t>
      </w:r>
    </w:p>
    <w:p w:rsidR="00D63A2B" w:rsidRPr="00D63A2B" w:rsidRDefault="00D63A2B" w:rsidP="00D63A2B">
      <w:r w:rsidRPr="00D63A2B">
        <w:t>Department of Sustainability and Environment (Victoria) 2003, Planning Provisions</w:t>
      </w:r>
      <w:r>
        <w:t xml:space="preserve"> </w:t>
      </w:r>
      <w:r w:rsidRPr="00D63A2B">
        <w:t xml:space="preserve">for Melbourne’s Green Wedges, DSE, </w:t>
      </w:r>
      <w:proofErr w:type="gramStart"/>
      <w:r w:rsidRPr="00D63A2B">
        <w:t>Melbourne</w:t>
      </w:r>
      <w:proofErr w:type="gramEnd"/>
    </w:p>
    <w:p w:rsidR="00D63A2B" w:rsidRPr="00D63A2B" w:rsidRDefault="00D63A2B" w:rsidP="00D63A2B">
      <w:r w:rsidRPr="00D63A2B">
        <w:t>Department of Sustainability and Environment (Victoria) 2005, Principles, issues and</w:t>
      </w:r>
      <w:r>
        <w:t xml:space="preserve"> </w:t>
      </w:r>
      <w:r w:rsidRPr="00D63A2B">
        <w:t>guidelines for the preparation of green wedge management plans, DSE, Melbourne</w:t>
      </w:r>
    </w:p>
    <w:p w:rsidR="00D63A2B" w:rsidRPr="00D63A2B" w:rsidRDefault="00D63A2B" w:rsidP="00D63A2B">
      <w:r w:rsidRPr="00D63A2B">
        <w:t>Department of Sustainability and Environment (Victoria) 2006, Our Environment, Our</w:t>
      </w:r>
      <w:r>
        <w:t xml:space="preserve"> </w:t>
      </w:r>
      <w:r w:rsidRPr="00D63A2B">
        <w:t>Future – Sustainability Action Statement 2006, Fact Sheet, DSE,</w:t>
      </w:r>
      <w:r>
        <w:t xml:space="preserve"> </w:t>
      </w:r>
      <w:r w:rsidRPr="00D63A2B">
        <w:t>&lt;</w:t>
      </w:r>
      <w:hyperlink r:id="rId25" w:history="1">
        <w:r w:rsidRPr="00D63A2B">
          <w:rPr>
            <w:rStyle w:val="Hyperlink"/>
            <w:color w:val="000000"/>
          </w:rPr>
          <w:t>http://www.dse.vic.gov.au/ourenvironment-ourfuture/downloads.htm</w:t>
        </w:r>
      </w:hyperlink>
      <w:r w:rsidRPr="00D63A2B">
        <w:t>&gt;, viewed</w:t>
      </w:r>
      <w:r>
        <w:t xml:space="preserve"> </w:t>
      </w:r>
      <w:r w:rsidRPr="00D63A2B">
        <w:t>23 December 2008</w:t>
      </w:r>
    </w:p>
    <w:p w:rsidR="00D63A2B" w:rsidRPr="00D63A2B" w:rsidRDefault="00D63A2B" w:rsidP="00D63A2B">
      <w:r w:rsidRPr="00D63A2B">
        <w:t>Department of Sustainability and Environment (Victoria) 2008, Land and biodiversity</w:t>
      </w:r>
      <w:r>
        <w:t xml:space="preserve"> </w:t>
      </w:r>
      <w:r w:rsidRPr="00D63A2B">
        <w:t>at a time of climate change, Green Paper, DSE, Melbourne</w:t>
      </w:r>
    </w:p>
    <w:p w:rsidR="00D63A2B" w:rsidRPr="00D63A2B" w:rsidRDefault="00D63A2B" w:rsidP="00D63A2B">
      <w:r w:rsidRPr="00D63A2B">
        <w:t>Department of Transport (Victoria) 2006, Meeting our Transport Challenges, DoT,</w:t>
      </w:r>
      <w:r>
        <w:t xml:space="preserve"> </w:t>
      </w:r>
      <w:r w:rsidRPr="00D63A2B">
        <w:t>&lt;</w:t>
      </w:r>
      <w:hyperlink r:id="rId26" w:history="1">
        <w:r w:rsidRPr="00D63A2B">
          <w:rPr>
            <w:rStyle w:val="Hyperlink"/>
            <w:color w:val="000000"/>
          </w:rPr>
          <w:t>http://www.transport.vic.gov.au/DOI/Internet/planningprojects.nsf/AllDocs/80E779DD0C35BA08CA2573AE000509F0?OpenDocument</w:t>
        </w:r>
      </w:hyperlink>
      <w:r w:rsidRPr="00D63A2B">
        <w:t>&gt;, viewed 28 May 2008</w:t>
      </w:r>
    </w:p>
    <w:p w:rsidR="00D63A2B" w:rsidRPr="00D63A2B" w:rsidRDefault="00D63A2B" w:rsidP="00D63A2B">
      <w:r w:rsidRPr="00D63A2B">
        <w:t>Department of Transport (Victoria) 2007, North East Integrated Transport Study</w:t>
      </w:r>
    </w:p>
    <w:p w:rsidR="00D63A2B" w:rsidRPr="00D63A2B" w:rsidRDefault="00D63A2B" w:rsidP="00D63A2B">
      <w:r w:rsidRPr="00D63A2B">
        <w:t>(NEITS), DoT,</w:t>
      </w:r>
      <w:r>
        <w:t xml:space="preserve"> </w:t>
      </w:r>
      <w:r w:rsidRPr="00D63A2B">
        <w:t>&lt;</w:t>
      </w:r>
      <w:hyperlink r:id="rId27" w:history="1">
        <w:r w:rsidRPr="00D63A2B">
          <w:rPr>
            <w:rStyle w:val="Hyperlink"/>
            <w:color w:val="000000"/>
          </w:rPr>
          <w:t>http://www.transport.vic.gov.au/Doi/Internet/planningprojects.nsf/AllDocs/8D2A24F5A2FB7552CA256F3200257724?OpenDocument#neits</w:t>
        </w:r>
      </w:hyperlink>
      <w:r w:rsidRPr="00D63A2B">
        <w:t>&gt;, viewed 28 May 2008</w:t>
      </w:r>
    </w:p>
    <w:p w:rsidR="00D63A2B" w:rsidRDefault="00D63A2B" w:rsidP="00D63A2B">
      <w:r w:rsidRPr="00D63A2B">
        <w:t xml:space="preserve">Diamond Creek sub catchment Working Group </w:t>
      </w:r>
      <w:proofErr w:type="gramStart"/>
      <w:r w:rsidRPr="00D63A2B">
        <w:t>1999,</w:t>
      </w:r>
      <w:proofErr w:type="gramEnd"/>
      <w:r w:rsidRPr="00D63A2B">
        <w:t xml:space="preserve"> Diamond Creek sub catchment</w:t>
      </w:r>
      <w:r>
        <w:t xml:space="preserve"> </w:t>
      </w:r>
      <w:r w:rsidRPr="00D63A2B">
        <w:t>– Local Action program</w:t>
      </w:r>
    </w:p>
    <w:p w:rsidR="00D63A2B" w:rsidRPr="00D63A2B" w:rsidRDefault="00D63A2B" w:rsidP="00D63A2B">
      <w:r w:rsidRPr="00D63A2B">
        <w:t>Dovers, S 2008, ‘Policy and Institutional Reforms’ in Ten Commitments Reshaping</w:t>
      </w:r>
      <w:r>
        <w:t xml:space="preserve"> </w:t>
      </w:r>
      <w:r w:rsidRPr="00D63A2B">
        <w:t xml:space="preserve">the Lucky Country’s Environment, </w:t>
      </w:r>
      <w:proofErr w:type="spellStart"/>
      <w:r w:rsidRPr="00D63A2B">
        <w:t>eds</w:t>
      </w:r>
      <w:proofErr w:type="spellEnd"/>
      <w:r w:rsidRPr="00D63A2B">
        <w:t xml:space="preserve"> D </w:t>
      </w:r>
      <w:proofErr w:type="spellStart"/>
      <w:r w:rsidRPr="00D63A2B">
        <w:t>Lindenmayer</w:t>
      </w:r>
      <w:proofErr w:type="spellEnd"/>
      <w:r w:rsidRPr="00D63A2B">
        <w:t xml:space="preserve">, S Dovers, M </w:t>
      </w:r>
      <w:proofErr w:type="spellStart"/>
      <w:r w:rsidRPr="00D63A2B">
        <w:t>Harriss</w:t>
      </w:r>
      <w:proofErr w:type="spellEnd"/>
      <w:r w:rsidRPr="00D63A2B">
        <w:t xml:space="preserve"> Olsen,</w:t>
      </w:r>
      <w:r>
        <w:t xml:space="preserve"> </w:t>
      </w:r>
      <w:r w:rsidRPr="00D63A2B">
        <w:t>S Morton, CSIRO Publishing, Collingwood, Victoria</w:t>
      </w:r>
    </w:p>
    <w:p w:rsidR="00D63A2B" w:rsidRPr="00D63A2B" w:rsidRDefault="00D63A2B" w:rsidP="00D63A2B">
      <w:proofErr w:type="spellStart"/>
      <w:r w:rsidRPr="00D63A2B">
        <w:t>Ellender</w:t>
      </w:r>
      <w:proofErr w:type="spellEnd"/>
      <w:r w:rsidRPr="00D63A2B">
        <w:t>, I 1994, The Aboriginal Heritage of the Shire of Eltham, unpublished study</w:t>
      </w:r>
    </w:p>
    <w:p w:rsidR="00D63A2B" w:rsidRPr="00D63A2B" w:rsidRDefault="00D63A2B" w:rsidP="00D63A2B">
      <w:r w:rsidRPr="00D63A2B">
        <w:t>Essential Economics 2008, Nillumbik Green</w:t>
      </w:r>
      <w:r>
        <w:t xml:space="preserve"> Wedge Management Plan Economic </w:t>
      </w:r>
      <w:r w:rsidRPr="00D63A2B">
        <w:t>Research, Nillumbik Shire Council, Greensborough</w:t>
      </w:r>
    </w:p>
    <w:p w:rsidR="00D63A2B" w:rsidRPr="00D63A2B" w:rsidRDefault="00D63A2B" w:rsidP="00D63A2B">
      <w:r w:rsidRPr="00D63A2B">
        <w:t>Flora and Fauna Guarantee Act 1988</w:t>
      </w:r>
      <w:r>
        <w:t xml:space="preserve">, s. 4, </w:t>
      </w:r>
      <w:r w:rsidRPr="00D63A2B">
        <w:t>&lt;</w:t>
      </w:r>
      <w:hyperlink r:id="rId28" w:history="1">
        <w:r w:rsidRPr="00D63A2B">
          <w:rPr>
            <w:rStyle w:val="Hyperlink"/>
            <w:color w:val="000000"/>
          </w:rPr>
          <w:t>http://www.austlii.edu.au/au/legis/vic/consol_act/fafga1988205/s4.html</w:t>
        </w:r>
      </w:hyperlink>
      <w:r w:rsidRPr="00D63A2B">
        <w:t>&gt;, viewed</w:t>
      </w:r>
      <w:r>
        <w:t xml:space="preserve"> </w:t>
      </w:r>
      <w:r w:rsidRPr="00D63A2B">
        <w:t>7 May 2008</w:t>
      </w:r>
    </w:p>
    <w:p w:rsidR="00D63A2B" w:rsidRPr="00D63A2B" w:rsidRDefault="00D63A2B" w:rsidP="00D63A2B">
      <w:proofErr w:type="spellStart"/>
      <w:r w:rsidRPr="00D63A2B">
        <w:t>Foran</w:t>
      </w:r>
      <w:proofErr w:type="spellEnd"/>
      <w:r w:rsidRPr="00D63A2B">
        <w:t xml:space="preserve">, B, </w:t>
      </w:r>
      <w:proofErr w:type="spellStart"/>
      <w:r w:rsidRPr="00D63A2B">
        <w:t>Gurran</w:t>
      </w:r>
      <w:proofErr w:type="spellEnd"/>
      <w:r w:rsidRPr="00D63A2B">
        <w:t>, N 2008 ‘Population reforms’ in Ten Commitments Reshaping the</w:t>
      </w:r>
      <w:r>
        <w:t xml:space="preserve"> </w:t>
      </w:r>
      <w:r w:rsidRPr="00D63A2B">
        <w:t xml:space="preserve">Lucky Country’s Environment, </w:t>
      </w:r>
      <w:proofErr w:type="spellStart"/>
      <w:r w:rsidRPr="00D63A2B">
        <w:t>eds</w:t>
      </w:r>
      <w:proofErr w:type="spellEnd"/>
      <w:r w:rsidRPr="00D63A2B">
        <w:t xml:space="preserve"> D </w:t>
      </w:r>
      <w:proofErr w:type="spellStart"/>
      <w:r w:rsidRPr="00D63A2B">
        <w:t>Lindenmayer</w:t>
      </w:r>
      <w:proofErr w:type="spellEnd"/>
      <w:r w:rsidRPr="00D63A2B">
        <w:t xml:space="preserve">, S </w:t>
      </w:r>
      <w:proofErr w:type="spellStart"/>
      <w:r w:rsidRPr="00D63A2B">
        <w:t>Dovers,M</w:t>
      </w:r>
      <w:proofErr w:type="spellEnd"/>
      <w:r w:rsidRPr="00D63A2B">
        <w:t xml:space="preserve"> </w:t>
      </w:r>
      <w:proofErr w:type="spellStart"/>
      <w:r w:rsidRPr="00D63A2B">
        <w:t>Harriss</w:t>
      </w:r>
      <w:proofErr w:type="spellEnd"/>
      <w:r w:rsidRPr="00D63A2B">
        <w:t xml:space="preserve"> Olsen,</w:t>
      </w:r>
      <w:r>
        <w:t xml:space="preserve"> </w:t>
      </w:r>
      <w:r w:rsidRPr="00D63A2B">
        <w:t>S Morton, CSIRO Publishing, Collingwood, Victoria</w:t>
      </w:r>
    </w:p>
    <w:p w:rsidR="00D63A2B" w:rsidRPr="00D63A2B" w:rsidRDefault="00D63A2B" w:rsidP="00D63A2B">
      <w:r w:rsidRPr="00D63A2B">
        <w:lastRenderedPageBreak/>
        <w:t xml:space="preserve">Goldie, J 2005 ‘Population, the great multiplier’ in In Search of Sustainability, </w:t>
      </w:r>
      <w:proofErr w:type="spellStart"/>
      <w:r w:rsidRPr="00D63A2B">
        <w:t>eds</w:t>
      </w:r>
      <w:proofErr w:type="spellEnd"/>
      <w:r w:rsidRPr="00D63A2B">
        <w:t xml:space="preserve"> J</w:t>
      </w:r>
      <w:r>
        <w:t xml:space="preserve"> </w:t>
      </w:r>
      <w:r w:rsidRPr="00D63A2B">
        <w:t xml:space="preserve">Goldie, B </w:t>
      </w:r>
      <w:proofErr w:type="spellStart"/>
      <w:r w:rsidRPr="00D63A2B">
        <w:t>Douglas</w:t>
      </w:r>
      <w:proofErr w:type="gramStart"/>
      <w:r w:rsidRPr="00D63A2B">
        <w:t>,B</w:t>
      </w:r>
      <w:proofErr w:type="spellEnd"/>
      <w:proofErr w:type="gramEnd"/>
      <w:r w:rsidRPr="00D63A2B">
        <w:t xml:space="preserve"> </w:t>
      </w:r>
      <w:proofErr w:type="spellStart"/>
      <w:r w:rsidRPr="00D63A2B">
        <w:t>Furnass</w:t>
      </w:r>
      <w:proofErr w:type="spellEnd"/>
      <w:r w:rsidRPr="00D63A2B">
        <w:t>, CSIRO Publishing, Collingwood, Victoria</w:t>
      </w:r>
    </w:p>
    <w:p w:rsidR="00D63A2B" w:rsidRPr="00D63A2B" w:rsidRDefault="00D63A2B" w:rsidP="00D63A2B">
      <w:r w:rsidRPr="00D63A2B">
        <w:t>Harris, G 2005, Melbourne’s Green Belt and Wedges, School of Social Science and</w:t>
      </w:r>
      <w:r>
        <w:t xml:space="preserve"> </w:t>
      </w:r>
      <w:r w:rsidRPr="00D63A2B">
        <w:t>Planning, RMIT University, Melbourne</w:t>
      </w:r>
    </w:p>
    <w:p w:rsidR="00D63A2B" w:rsidRPr="00D63A2B" w:rsidRDefault="00D63A2B" w:rsidP="00D63A2B">
      <w:r w:rsidRPr="00D63A2B">
        <w:t>Hatfield-</w:t>
      </w:r>
      <w:proofErr w:type="spellStart"/>
      <w:r w:rsidRPr="00D63A2B">
        <w:t>Dodds</w:t>
      </w:r>
      <w:proofErr w:type="spellEnd"/>
      <w:r w:rsidRPr="00D63A2B">
        <w:t xml:space="preserve">, S, Proctor, W 2008, </w:t>
      </w:r>
      <w:proofErr w:type="gramStart"/>
      <w:r w:rsidRPr="00D63A2B">
        <w:t>Delivering</w:t>
      </w:r>
      <w:proofErr w:type="gramEnd"/>
      <w:r w:rsidRPr="00D63A2B">
        <w:t xml:space="preserve"> on the Promise of Stewardship:</w:t>
      </w:r>
      <w:r>
        <w:t xml:space="preserve"> </w:t>
      </w:r>
      <w:r w:rsidRPr="00D63A2B">
        <w:t>issues in realising the full potential of environmental stewardship payments for</w:t>
      </w:r>
      <w:r>
        <w:t xml:space="preserve"> </w:t>
      </w:r>
      <w:r w:rsidRPr="00D63A2B">
        <w:t>landholders and the land, a discussion paper prepared for the Australian</w:t>
      </w:r>
      <w:r>
        <w:t xml:space="preserve"> </w:t>
      </w:r>
      <w:r w:rsidRPr="00D63A2B">
        <w:t>Conservation Foundation, CSIRO Sustainable Ecosystems, Canberra</w:t>
      </w:r>
    </w:p>
    <w:p w:rsidR="00D63A2B" w:rsidRPr="00D63A2B" w:rsidRDefault="00D63A2B" w:rsidP="00D63A2B">
      <w:r w:rsidRPr="00D63A2B">
        <w:t>Hughes, L 2008, ‘Climate change’ in Ten Commitments Reshaping the Lucky</w:t>
      </w:r>
      <w:r>
        <w:t xml:space="preserve"> </w:t>
      </w:r>
      <w:r w:rsidRPr="00D63A2B">
        <w:t xml:space="preserve">Country’s Environment, </w:t>
      </w:r>
      <w:proofErr w:type="spellStart"/>
      <w:r w:rsidRPr="00D63A2B">
        <w:t>eds</w:t>
      </w:r>
      <w:proofErr w:type="spellEnd"/>
      <w:r w:rsidRPr="00D63A2B">
        <w:t xml:space="preserve"> D </w:t>
      </w:r>
      <w:proofErr w:type="spellStart"/>
      <w:r w:rsidRPr="00D63A2B">
        <w:t>Lindenmayer</w:t>
      </w:r>
      <w:proofErr w:type="spellEnd"/>
      <w:r w:rsidRPr="00D63A2B">
        <w:t xml:space="preserve">, S </w:t>
      </w:r>
      <w:proofErr w:type="spellStart"/>
      <w:r w:rsidRPr="00D63A2B">
        <w:t>Dovers,M</w:t>
      </w:r>
      <w:proofErr w:type="spellEnd"/>
      <w:r w:rsidRPr="00D63A2B">
        <w:t xml:space="preserve"> </w:t>
      </w:r>
      <w:proofErr w:type="spellStart"/>
      <w:r w:rsidRPr="00D63A2B">
        <w:t>Harriss</w:t>
      </w:r>
      <w:proofErr w:type="spellEnd"/>
      <w:r w:rsidRPr="00D63A2B">
        <w:t xml:space="preserve"> Olsen, S Morton,</w:t>
      </w:r>
      <w:r>
        <w:t xml:space="preserve"> </w:t>
      </w:r>
      <w:r w:rsidRPr="00D63A2B">
        <w:t>CSIRO Publishing, Collingwood, Victoria</w:t>
      </w:r>
    </w:p>
    <w:p w:rsidR="00D63A2B" w:rsidRPr="00D63A2B" w:rsidRDefault="00D63A2B" w:rsidP="00D63A2B">
      <w:proofErr w:type="spellStart"/>
      <w:r w:rsidRPr="00D63A2B">
        <w:t>Jeavons</w:t>
      </w:r>
      <w:proofErr w:type="spellEnd"/>
      <w:r w:rsidRPr="00D63A2B">
        <w:t xml:space="preserve"> and </w:t>
      </w:r>
      <w:proofErr w:type="spellStart"/>
      <w:r w:rsidRPr="00D63A2B">
        <w:t>Jeavons</w:t>
      </w:r>
      <w:proofErr w:type="spellEnd"/>
      <w:r w:rsidRPr="00D63A2B">
        <w:t xml:space="preserve"> 2000, Preliminary progress report Open Space Strategy, pp.</w:t>
      </w:r>
      <w:r>
        <w:t xml:space="preserve"> </w:t>
      </w:r>
      <w:r w:rsidRPr="00D63A2B">
        <w:t>49–54, cited in Nillumbik Shire Council 2005, Open Space Strategy, Appendix 2, pp.</w:t>
      </w:r>
      <w:r>
        <w:t xml:space="preserve"> </w:t>
      </w:r>
      <w:r w:rsidRPr="00D63A2B">
        <w:t>2–4, Nillumbik Shire Council, Greensborough</w:t>
      </w:r>
    </w:p>
    <w:p w:rsidR="00D63A2B" w:rsidRPr="00D63A2B" w:rsidRDefault="00D63A2B" w:rsidP="00D63A2B">
      <w:r w:rsidRPr="00D63A2B">
        <w:t xml:space="preserve">Johns, D, </w:t>
      </w:r>
      <w:proofErr w:type="gramStart"/>
      <w:r w:rsidRPr="00D63A2B">
        <w:t>The</w:t>
      </w:r>
      <w:proofErr w:type="gramEnd"/>
      <w:r w:rsidRPr="00D63A2B">
        <w:t xml:space="preserve"> Kinglake Fires –- January 2006</w:t>
      </w:r>
    </w:p>
    <w:p w:rsidR="00D63A2B" w:rsidRPr="00D63A2B" w:rsidRDefault="00D63A2B" w:rsidP="00D63A2B">
      <w:r w:rsidRPr="00D63A2B">
        <w:t xml:space="preserve">Knox, A 1985, </w:t>
      </w:r>
      <w:proofErr w:type="gramStart"/>
      <w:r w:rsidRPr="00D63A2B">
        <w:t>Living</w:t>
      </w:r>
      <w:proofErr w:type="gramEnd"/>
      <w:r w:rsidRPr="00D63A2B">
        <w:t xml:space="preserve"> in the Environment, Second back Row Press, NSW</w:t>
      </w:r>
    </w:p>
    <w:p w:rsidR="00D63A2B" w:rsidRPr="00D63A2B" w:rsidRDefault="00D63A2B" w:rsidP="00D63A2B">
      <w:r w:rsidRPr="00D63A2B">
        <w:t xml:space="preserve">Knox, </w:t>
      </w:r>
      <w:proofErr w:type="gramStart"/>
      <w:r w:rsidRPr="00D63A2B">
        <w:t>A</w:t>
      </w:r>
      <w:proofErr w:type="gramEnd"/>
      <w:r w:rsidRPr="00D63A2B">
        <w:t xml:space="preserve"> We are what we stand on, Adobe Press, Eltham</w:t>
      </w:r>
    </w:p>
    <w:p w:rsidR="00D63A2B" w:rsidRPr="00D63A2B" w:rsidRDefault="00D63A2B" w:rsidP="00D63A2B">
      <w:r w:rsidRPr="00D63A2B">
        <w:t>Land and Water Australia 2003, Biodiversity Conserv</w:t>
      </w:r>
      <w:r>
        <w:t xml:space="preserve">ation in Regional NRM Planning </w:t>
      </w:r>
      <w:r w:rsidRPr="00D63A2B">
        <w:t>research project VRA1 Fact sheet: September 2003,</w:t>
      </w:r>
      <w:r>
        <w:t xml:space="preserve"> </w:t>
      </w:r>
      <w:r w:rsidRPr="00DE791A">
        <w:rPr>
          <w:color w:val="000000"/>
        </w:rPr>
        <w:t>&lt;</w:t>
      </w:r>
      <w:hyperlink r:id="rId29" w:history="1">
        <w:r w:rsidRPr="00DE791A">
          <w:rPr>
            <w:rStyle w:val="Hyperlink"/>
            <w:color w:val="000000"/>
          </w:rPr>
          <w:t>http://downloads.lwa2.com/downloads/publications_pdf/PF030618.pdf</w:t>
        </w:r>
      </w:hyperlink>
      <w:r w:rsidRPr="00D63A2B">
        <w:t>&gt; viewed</w:t>
      </w:r>
      <w:r w:rsidR="00DE791A">
        <w:t xml:space="preserve"> </w:t>
      </w:r>
      <w:r w:rsidRPr="00D63A2B">
        <w:t>7 May 2008</w:t>
      </w:r>
    </w:p>
    <w:p w:rsidR="00D63A2B" w:rsidRPr="00D63A2B" w:rsidRDefault="00D63A2B" w:rsidP="00D63A2B">
      <w:r w:rsidRPr="00D63A2B">
        <w:t xml:space="preserve">Lowe, Ian, 2005 ‘Achieving a sustainable future’ in In Search of Sustainability, </w:t>
      </w:r>
      <w:proofErr w:type="spellStart"/>
      <w:proofErr w:type="gramStart"/>
      <w:r w:rsidRPr="00D63A2B">
        <w:t>eds</w:t>
      </w:r>
      <w:proofErr w:type="spellEnd"/>
      <w:proofErr w:type="gramEnd"/>
      <w:r w:rsidR="00DE791A">
        <w:t xml:space="preserve"> </w:t>
      </w:r>
      <w:r w:rsidRPr="00D63A2B">
        <w:t xml:space="preserve">J Goldie, B Douglas, B </w:t>
      </w:r>
      <w:proofErr w:type="spellStart"/>
      <w:r w:rsidRPr="00D63A2B">
        <w:t>Furnass</w:t>
      </w:r>
      <w:proofErr w:type="spellEnd"/>
      <w:r w:rsidRPr="00D63A2B">
        <w:t>, CSIRO Publishing, Collingwood, Victoria</w:t>
      </w:r>
    </w:p>
    <w:p w:rsidR="00D63A2B" w:rsidRDefault="00D63A2B" w:rsidP="00D63A2B">
      <w:r w:rsidRPr="00D63A2B">
        <w:t>Lowe, Ian, 2008 ‘Energy’ in Ten Commitments Reshaping the Lucky Country’s</w:t>
      </w:r>
      <w:r w:rsidR="00DE791A">
        <w:t xml:space="preserve"> </w:t>
      </w:r>
      <w:r w:rsidRPr="00D63A2B">
        <w:t xml:space="preserve">Environment, </w:t>
      </w:r>
      <w:proofErr w:type="spellStart"/>
      <w:r w:rsidRPr="00D63A2B">
        <w:t>eds</w:t>
      </w:r>
      <w:proofErr w:type="spellEnd"/>
      <w:r w:rsidRPr="00D63A2B">
        <w:t xml:space="preserve"> D </w:t>
      </w:r>
      <w:proofErr w:type="spellStart"/>
      <w:r w:rsidRPr="00D63A2B">
        <w:t>Lindenmayer</w:t>
      </w:r>
      <w:proofErr w:type="spellEnd"/>
      <w:r w:rsidRPr="00D63A2B">
        <w:t>, S Dovers, M</w:t>
      </w:r>
      <w:r w:rsidR="00DE791A">
        <w:t xml:space="preserve"> </w:t>
      </w:r>
      <w:proofErr w:type="spellStart"/>
      <w:r w:rsidR="00DE791A">
        <w:t>Harriss</w:t>
      </w:r>
      <w:proofErr w:type="spellEnd"/>
      <w:r w:rsidR="00DE791A">
        <w:t xml:space="preserve"> Olsen, S Morton, CSIRO </w:t>
      </w:r>
      <w:r w:rsidRPr="00D63A2B">
        <w:t>Publishing, Collingwood, Victoria</w:t>
      </w:r>
    </w:p>
    <w:p w:rsidR="00DE791A" w:rsidRPr="00DE791A" w:rsidRDefault="00DE791A" w:rsidP="00DE791A">
      <w:r w:rsidRPr="00DE791A">
        <w:t>Maribyrnong City Council, Peak Oil Policy,</w:t>
      </w:r>
      <w:r>
        <w:t xml:space="preserve"> &lt;</w:t>
      </w:r>
      <w:hyperlink r:id="rId30" w:history="1">
        <w:r w:rsidRPr="00DE791A">
          <w:rPr>
            <w:rStyle w:val="Hyperlink"/>
            <w:color w:val="000000"/>
          </w:rPr>
          <w:t>http:/www.maribyrnong.vic.gov.au/Files/PeakOilPolicy.pdf</w:t>
        </w:r>
      </w:hyperlink>
      <w:r w:rsidRPr="00DE791A">
        <w:t>&gt;, viewed 7 May 2008</w:t>
      </w:r>
    </w:p>
    <w:p w:rsidR="00DE791A" w:rsidRPr="00DE791A" w:rsidRDefault="00DE791A" w:rsidP="00DE791A">
      <w:r w:rsidRPr="00DE791A">
        <w:t>Melbourne and Metropolitan Board of Works 1981, Metropolitan Strategy</w:t>
      </w:r>
      <w:r>
        <w:t xml:space="preserve"> </w:t>
      </w:r>
      <w:r w:rsidRPr="00DE791A">
        <w:t>Implementation</w:t>
      </w:r>
    </w:p>
    <w:p w:rsidR="00DE791A" w:rsidRPr="00DE791A" w:rsidRDefault="00DE791A" w:rsidP="00DE791A">
      <w:r w:rsidRPr="00DE791A">
        <w:t>Melbourne Water Corporation 2007, Port Phillip and Westernport Regional River</w:t>
      </w:r>
      <w:r>
        <w:t xml:space="preserve"> </w:t>
      </w:r>
      <w:r w:rsidRPr="00DE791A">
        <w:t>Health Strategy, Melbourne Water, Melbourne</w:t>
      </w:r>
    </w:p>
    <w:p w:rsidR="00DE791A" w:rsidRPr="00DE791A" w:rsidRDefault="00DE791A" w:rsidP="00DE791A">
      <w:r w:rsidRPr="00DE791A">
        <w:t>Mitchell, N 2004, ‘Landscape-scale conservation: grappling with the green matrix’,</w:t>
      </w:r>
      <w:r>
        <w:t xml:space="preserve"> </w:t>
      </w:r>
      <w:r w:rsidRPr="00DE791A">
        <w:t>cited in Levitt, J N, Land Lines vol.16, no.1, Lincoln Institute of Land Policy</w:t>
      </w:r>
      <w:r>
        <w:t xml:space="preserve"> </w:t>
      </w:r>
      <w:r w:rsidRPr="00DE791A">
        <w:t>&lt;</w:t>
      </w:r>
      <w:hyperlink r:id="rId31" w:history="1">
        <w:r w:rsidRPr="00DE791A">
          <w:rPr>
            <w:rStyle w:val="Hyperlink"/>
            <w:color w:val="000000"/>
          </w:rPr>
          <w:t>http://www.lincolninst.edu/pubs/PubDetail.aspx?pubid=869</w:t>
        </w:r>
      </w:hyperlink>
      <w:r w:rsidRPr="00DE791A">
        <w:t>&gt; viewed 28 May 2008</w:t>
      </w:r>
    </w:p>
    <w:p w:rsidR="00DE791A" w:rsidRPr="00DE791A" w:rsidRDefault="00DE791A" w:rsidP="00DE791A">
      <w:r w:rsidRPr="00DE791A">
        <w:t>Nillumbik Shire Council 2000, Draft Hurstbridge township strategy, Nillumbik Shire</w:t>
      </w:r>
      <w:r>
        <w:t xml:space="preserve"> </w:t>
      </w:r>
      <w:r w:rsidRPr="00DE791A">
        <w:t>Council, Greensborough</w:t>
      </w:r>
    </w:p>
    <w:p w:rsidR="00DE791A" w:rsidRPr="00DE791A" w:rsidRDefault="00DE791A" w:rsidP="00DE791A">
      <w:r w:rsidRPr="00DE791A">
        <w:t>Nillumbik Shire Council 2001a, Integrated Transport Strategy, Nillumbik Shire</w:t>
      </w:r>
      <w:r>
        <w:t xml:space="preserve"> </w:t>
      </w:r>
      <w:r w:rsidRPr="00DE791A">
        <w:t>Council, Greensborough</w:t>
      </w:r>
    </w:p>
    <w:p w:rsidR="00DE791A" w:rsidRPr="00DE791A" w:rsidRDefault="00DE791A" w:rsidP="00DE791A">
      <w:r w:rsidRPr="00DE791A">
        <w:lastRenderedPageBreak/>
        <w:t>Nillumbik Shire Council 2001b, Sustainable Water Management Plan</w:t>
      </w:r>
      <w:r>
        <w:t xml:space="preserve">, Nillumbik Shire </w:t>
      </w:r>
      <w:r w:rsidRPr="00DE791A">
        <w:t>Council, Greensborough</w:t>
      </w:r>
    </w:p>
    <w:p w:rsidR="00DE791A" w:rsidRPr="00DE791A" w:rsidRDefault="00DE791A" w:rsidP="00DE791A">
      <w:r w:rsidRPr="00DE791A">
        <w:t>Nillumbik Shire Council December 2006, Green Wedge: Background paper</w:t>
      </w:r>
      <w:r>
        <w:t xml:space="preserve">, </w:t>
      </w:r>
      <w:r w:rsidRPr="00DE791A">
        <w:t>Nillumbik Shire Council, Greensborough</w:t>
      </w:r>
    </w:p>
    <w:p w:rsidR="00DE791A" w:rsidRPr="00DE791A" w:rsidRDefault="00DE791A" w:rsidP="00DE791A">
      <w:r w:rsidRPr="00DE791A">
        <w:t>Nillumbik Shire Council 2005, Open Space Strategy</w:t>
      </w:r>
      <w:r>
        <w:t xml:space="preserve">, Nillumbik Shire Council, </w:t>
      </w:r>
      <w:r w:rsidRPr="00DE791A">
        <w:t>Greensborough</w:t>
      </w:r>
    </w:p>
    <w:p w:rsidR="00DE791A" w:rsidRPr="00DE791A" w:rsidRDefault="00DE791A" w:rsidP="00DE791A">
      <w:r w:rsidRPr="00DE791A">
        <w:t>Nillumbik Shire Council February 2007, Green Wedge: Discussion paper</w:t>
      </w:r>
      <w:r>
        <w:t xml:space="preserve">, Nillumbik </w:t>
      </w:r>
      <w:r w:rsidRPr="00DE791A">
        <w:t>Shire Council, Greensborough</w:t>
      </w:r>
    </w:p>
    <w:p w:rsidR="00DE791A" w:rsidRPr="00DE791A" w:rsidRDefault="00DE791A" w:rsidP="00DE791A">
      <w:r w:rsidRPr="00DE791A">
        <w:t>Nillumbik Shire Council 2009, Council Plan 2009–2013, Nillumbik Shire Counci</w:t>
      </w:r>
      <w:r>
        <w:t xml:space="preserve">l, </w:t>
      </w:r>
      <w:r w:rsidRPr="00DE791A">
        <w:t>Greensborough</w:t>
      </w:r>
    </w:p>
    <w:p w:rsidR="00DE791A" w:rsidRPr="00DE791A" w:rsidRDefault="00DE791A" w:rsidP="00DE791A">
      <w:r w:rsidRPr="00DE791A">
        <w:t>Nillumbik Shire Council, 2008, Draft Climate</w:t>
      </w:r>
      <w:r>
        <w:t xml:space="preserve"> Change Action plan: 2008-2015, </w:t>
      </w:r>
      <w:r w:rsidRPr="00DE791A">
        <w:t>Nillumbik Shire Council, Greensborough</w:t>
      </w:r>
    </w:p>
    <w:p w:rsidR="00DE791A" w:rsidRPr="00DE791A" w:rsidRDefault="00DE791A" w:rsidP="00DE791A">
      <w:r w:rsidRPr="00DE791A">
        <w:t>Nillumbik Shire Council Municipal Strategic Statement</w:t>
      </w:r>
      <w:r>
        <w:t xml:space="preserve">, Nillumbik Shire Council, </w:t>
      </w:r>
      <w:r w:rsidRPr="00DE791A">
        <w:t>Greensborough</w:t>
      </w:r>
    </w:p>
    <w:p w:rsidR="00DE791A" w:rsidRPr="00DE791A" w:rsidRDefault="00DE791A" w:rsidP="00DE791A">
      <w:r w:rsidRPr="00DE791A">
        <w:t>Nillumbik Tourism Association 2008, Business Plan,</w:t>
      </w:r>
      <w:r>
        <w:t xml:space="preserve"> Nillumbik Tourism Association, </w:t>
      </w:r>
      <w:r w:rsidRPr="00DE791A">
        <w:t>&lt;</w:t>
      </w:r>
      <w:hyperlink r:id="rId32" w:history="1">
        <w:r w:rsidRPr="00DE791A">
          <w:rPr>
            <w:rStyle w:val="Hyperlink"/>
            <w:color w:val="000000"/>
          </w:rPr>
          <w:t>http://www.nillumbiktourism.com/?PK_PAGE_ID=803</w:t>
        </w:r>
      </w:hyperlink>
      <w:r w:rsidRPr="00DE791A">
        <w:t>&gt; viewed 7 May 2008</w:t>
      </w:r>
    </w:p>
    <w:p w:rsidR="00DE791A" w:rsidRPr="00DE791A" w:rsidRDefault="00DE791A" w:rsidP="00DE791A">
      <w:r w:rsidRPr="00DE791A">
        <w:t>Outer Suburban/interface Services and Development Committee 2010, Final report</w:t>
      </w:r>
      <w:r>
        <w:t xml:space="preserve"> </w:t>
      </w:r>
      <w:r w:rsidRPr="00DE791A">
        <w:t>on the Inquiry into Sustainable Agriculture in Outer Melbourne</w:t>
      </w:r>
    </w:p>
    <w:p w:rsidR="00DE791A" w:rsidRPr="00DE791A" w:rsidRDefault="00DE791A" w:rsidP="00DE791A">
      <w:r w:rsidRPr="00DE791A">
        <w:t>Parks Victoria 2002, Linking people and spaces, Victorian Government, Melbourne</w:t>
      </w:r>
    </w:p>
    <w:p w:rsidR="00DE791A" w:rsidRPr="00DE791A" w:rsidRDefault="00DE791A" w:rsidP="00DE791A">
      <w:r w:rsidRPr="00DE791A">
        <w:t>Port Phillip and Westernport CMA 2000, Port</w:t>
      </w:r>
      <w:r>
        <w:t xml:space="preserve"> Phillip and Westernport Native </w:t>
      </w:r>
      <w:r w:rsidRPr="00DE791A">
        <w:t>Vegetation Plan, Port Phillip and Westernport CMA, Frankston</w:t>
      </w:r>
    </w:p>
    <w:p w:rsidR="00DE791A" w:rsidRDefault="00DE791A" w:rsidP="00DE791A">
      <w:r w:rsidRPr="00DE791A">
        <w:t>Port Phillip and Westernport CMA, 2002/3, Sustai</w:t>
      </w:r>
      <w:r>
        <w:t xml:space="preserve">nability Objectives for natural </w:t>
      </w:r>
      <w:r w:rsidRPr="00DE791A">
        <w:t>resource management in the Port Phillip and Westernport region, Port Phillip and</w:t>
      </w:r>
      <w:r>
        <w:t xml:space="preserve"> </w:t>
      </w:r>
      <w:r w:rsidRPr="00DE791A">
        <w:t>Westernport CMA, Frankston</w:t>
      </w:r>
    </w:p>
    <w:p w:rsidR="00DE791A" w:rsidRPr="00DE791A" w:rsidRDefault="00DE791A" w:rsidP="00DE791A">
      <w:proofErr w:type="spellStart"/>
      <w:r w:rsidRPr="00DE791A">
        <w:t>Possingham</w:t>
      </w:r>
      <w:proofErr w:type="spellEnd"/>
      <w:r w:rsidRPr="00DE791A">
        <w:t>, H 2008, ‘Biodiversity Reforms’ in Ten Commitments Reshaping the</w:t>
      </w:r>
      <w:r>
        <w:t xml:space="preserve"> </w:t>
      </w:r>
      <w:r w:rsidRPr="00DE791A">
        <w:t xml:space="preserve">Lucky Country’s Environment, </w:t>
      </w:r>
      <w:proofErr w:type="spellStart"/>
      <w:r w:rsidRPr="00DE791A">
        <w:t>eds</w:t>
      </w:r>
      <w:proofErr w:type="spellEnd"/>
      <w:r w:rsidRPr="00DE791A">
        <w:t xml:space="preserve"> D </w:t>
      </w:r>
      <w:proofErr w:type="spellStart"/>
      <w:r w:rsidRPr="00DE791A">
        <w:t>Lindenmayer</w:t>
      </w:r>
      <w:proofErr w:type="spellEnd"/>
      <w:r w:rsidRPr="00DE791A">
        <w:t xml:space="preserve">, S Dovers, M </w:t>
      </w:r>
      <w:proofErr w:type="spellStart"/>
      <w:r w:rsidRPr="00DE791A">
        <w:t>Harriss</w:t>
      </w:r>
      <w:proofErr w:type="spellEnd"/>
      <w:r w:rsidRPr="00DE791A">
        <w:t xml:space="preserve"> Olsen,</w:t>
      </w:r>
      <w:r>
        <w:t xml:space="preserve"> </w:t>
      </w:r>
      <w:r w:rsidRPr="00DE791A">
        <w:t>S Morton, CSIRO Publishing, Collingwood, Victoria</w:t>
      </w:r>
    </w:p>
    <w:p w:rsidR="00DE791A" w:rsidRPr="00DE791A" w:rsidRDefault="00DE791A" w:rsidP="00DE791A">
      <w:proofErr w:type="spellStart"/>
      <w:r w:rsidRPr="00DE791A">
        <w:t>Sciusco</w:t>
      </w:r>
      <w:proofErr w:type="spellEnd"/>
      <w:r w:rsidRPr="00DE791A">
        <w:t>, L 1996, Nillumbik Shire Council Aboriginal Heritage Study</w:t>
      </w:r>
      <w:r>
        <w:t xml:space="preserve">, unpublished </w:t>
      </w:r>
      <w:r w:rsidRPr="00DE791A">
        <w:t>study</w:t>
      </w:r>
    </w:p>
    <w:p w:rsidR="00DE791A" w:rsidRPr="00DE791A" w:rsidRDefault="00DE791A" w:rsidP="00DE791A">
      <w:r w:rsidRPr="00DE791A">
        <w:t>Scott, J M 2002, ‘Measuring whole farm sustainability and profitability at a credible</w:t>
      </w:r>
      <w:r>
        <w:t xml:space="preserve"> </w:t>
      </w:r>
      <w:r w:rsidRPr="00DE791A">
        <w:t xml:space="preserve">scale’, Proceedings of the </w:t>
      </w:r>
      <w:proofErr w:type="spellStart"/>
      <w:r w:rsidRPr="00DE791A">
        <w:t>Fenner</w:t>
      </w:r>
      <w:proofErr w:type="spellEnd"/>
      <w:r w:rsidRPr="00DE791A">
        <w:t xml:space="preserve"> Conference on the Environment, Chicago State</w:t>
      </w:r>
      <w:r>
        <w:t xml:space="preserve"> </w:t>
      </w:r>
      <w:r w:rsidRPr="00DE791A">
        <w:t>University, &lt;</w:t>
      </w:r>
      <w:hyperlink r:id="rId33" w:history="1">
        <w:r w:rsidRPr="00DE791A">
          <w:rPr>
            <w:rStyle w:val="Hyperlink"/>
            <w:color w:val="000000"/>
          </w:rPr>
          <w:t>http://www.csu.edu.au/special/fenner/&gt;</w:t>
        </w:r>
      </w:hyperlink>
      <w:r w:rsidRPr="00DE791A">
        <w:t xml:space="preserve"> viewed 31 December 2008</w:t>
      </w:r>
    </w:p>
    <w:p w:rsidR="00DE791A" w:rsidRPr="00DE791A" w:rsidRDefault="00DE791A" w:rsidP="00DE791A">
      <w:r w:rsidRPr="00DE791A">
        <w:t>Sustainability Victoria 2008, Green Light Report – Victorians and the Environment,</w:t>
      </w:r>
      <w:r>
        <w:t xml:space="preserve"> </w:t>
      </w:r>
      <w:r w:rsidRPr="00DE791A">
        <w:t>Sustainability Victoria, &lt;http://www.sustainability.vic.g</w:t>
      </w:r>
      <w:r>
        <w:t xml:space="preserve">ov.au/www/html/2698-greenlight- </w:t>
      </w:r>
      <w:proofErr w:type="spellStart"/>
      <w:r w:rsidRPr="00DE791A">
        <w:t>report.asp</w:t>
      </w:r>
      <w:proofErr w:type="gramStart"/>
      <w:r w:rsidRPr="00DE791A">
        <w:t>?intSiteID</w:t>
      </w:r>
      <w:proofErr w:type="spellEnd"/>
      <w:proofErr w:type="gramEnd"/>
      <w:r w:rsidRPr="00DE791A">
        <w:t>=4&gt; viewed 23 December 2008</w:t>
      </w:r>
    </w:p>
    <w:p w:rsidR="00DE791A" w:rsidRPr="00DE791A" w:rsidRDefault="00DE791A" w:rsidP="00DE791A">
      <w:r w:rsidRPr="00DE791A">
        <w:t xml:space="preserve">Tilbury, D, </w:t>
      </w:r>
      <w:proofErr w:type="spellStart"/>
      <w:r w:rsidRPr="00DE791A">
        <w:t>Wortman</w:t>
      </w:r>
      <w:proofErr w:type="spellEnd"/>
      <w:r w:rsidRPr="00DE791A">
        <w:t>, D 2008, Engaging people in sustainability</w:t>
      </w:r>
      <w:r>
        <w:t xml:space="preserve">, IUCN Publications, </w:t>
      </w:r>
      <w:r w:rsidRPr="00DE791A">
        <w:t>Cambridge, UK</w:t>
      </w:r>
    </w:p>
    <w:p w:rsidR="00DE791A" w:rsidRPr="00DE791A" w:rsidRDefault="00DE791A" w:rsidP="00DE791A">
      <w:r w:rsidRPr="00DE791A">
        <w:lastRenderedPageBreak/>
        <w:t>Tourism Victoria 2007</w:t>
      </w:r>
      <w:proofErr w:type="gramStart"/>
      <w:r w:rsidRPr="00DE791A">
        <w:t>,Sustainability</w:t>
      </w:r>
      <w:proofErr w:type="gramEnd"/>
      <w:r w:rsidRPr="00DE791A">
        <w:t xml:space="preserve"> in Tourism,</w:t>
      </w:r>
      <w:r>
        <w:t xml:space="preserve"> </w:t>
      </w:r>
      <w:r w:rsidRPr="00DE791A">
        <w:t>&lt;</w:t>
      </w:r>
      <w:hyperlink r:id="rId34" w:history="1">
        <w:r w:rsidRPr="00DE791A">
          <w:rPr>
            <w:rStyle w:val="Hyperlink"/>
            <w:color w:val="000000"/>
          </w:rPr>
          <w:t>www.tourismexcellence.com.au//sustainability-in-tourism.html</w:t>
        </w:r>
      </w:hyperlink>
      <w:r w:rsidRPr="00DE791A">
        <w:t>&gt; viewed 7 May 2008</w:t>
      </w:r>
    </w:p>
    <w:p w:rsidR="00DE791A" w:rsidRPr="00DE791A" w:rsidRDefault="00DE791A" w:rsidP="00DE791A">
      <w:r w:rsidRPr="00DE791A">
        <w:t xml:space="preserve">Walker, M &amp; Marquis-Kyle, P 2004, </w:t>
      </w:r>
      <w:proofErr w:type="gramStart"/>
      <w:r w:rsidRPr="00DE791A">
        <w:t>The</w:t>
      </w:r>
      <w:proofErr w:type="gramEnd"/>
      <w:r w:rsidRPr="00DE791A">
        <w:t xml:space="preserve"> illustrated Burra Charter: good practice for</w:t>
      </w:r>
      <w:r>
        <w:t xml:space="preserve"> </w:t>
      </w:r>
      <w:r w:rsidRPr="00DE791A">
        <w:t xml:space="preserve">heritage places, Australia ICOMOS </w:t>
      </w:r>
      <w:proofErr w:type="spellStart"/>
      <w:r w:rsidRPr="00DE791A">
        <w:t>inc.</w:t>
      </w:r>
      <w:proofErr w:type="spellEnd"/>
      <w:r w:rsidRPr="00DE791A">
        <w:t>, Burwood</w:t>
      </w:r>
    </w:p>
    <w:p w:rsidR="00DE791A" w:rsidRPr="00DE791A" w:rsidRDefault="00DE791A" w:rsidP="00DE791A">
      <w:r w:rsidRPr="00DE791A">
        <w:t xml:space="preserve">Western Australian Government 2003, </w:t>
      </w:r>
      <w:r>
        <w:t xml:space="preserve">State Sustainability Strategy </w:t>
      </w:r>
      <w:r w:rsidRPr="00DE791A">
        <w:t>&lt;</w:t>
      </w:r>
      <w:hyperlink r:id="rId35" w:history="1">
        <w:r w:rsidRPr="00DE791A">
          <w:rPr>
            <w:rStyle w:val="Hyperlink"/>
            <w:color w:val="000000"/>
          </w:rPr>
          <w:t>http://www.dec.wa.gov.au/our-environment/sustainability/state-sustainabilitystrategy.html</w:t>
        </w:r>
      </w:hyperlink>
      <w:r w:rsidRPr="00DE791A">
        <w:t>&gt;, viewed 23 December 2008</w:t>
      </w:r>
    </w:p>
    <w:p w:rsidR="00DE791A" w:rsidRPr="00DE791A" w:rsidRDefault="00DE791A" w:rsidP="00DE791A">
      <w:r w:rsidRPr="00DE791A">
        <w:t>Whittlesea City Council 2008, ‘About Whittlesea’, Whittlesea City Council website,</w:t>
      </w:r>
      <w:r>
        <w:t xml:space="preserve"> </w:t>
      </w:r>
      <w:r w:rsidRPr="00DE791A">
        <w:t>&lt;</w:t>
      </w:r>
      <w:hyperlink r:id="rId36" w:history="1">
        <w:r w:rsidRPr="007B3A5A">
          <w:rPr>
            <w:rStyle w:val="Hyperlink"/>
            <w:color w:val="000000"/>
          </w:rPr>
          <w:t>http://www.whittlesea.vic.gov.au/content/content.asp?cnid=949</w:t>
        </w:r>
      </w:hyperlink>
      <w:r w:rsidRPr="00DE791A">
        <w:t>&gt;, viewed 15</w:t>
      </w:r>
      <w:r>
        <w:t xml:space="preserve"> </w:t>
      </w:r>
      <w:r w:rsidRPr="00DE791A">
        <w:t>December 2008</w:t>
      </w:r>
    </w:p>
    <w:p w:rsidR="00DE791A" w:rsidRPr="00E45B56" w:rsidRDefault="00DE791A" w:rsidP="00DE791A">
      <w:r w:rsidRPr="00DE791A">
        <w:t>Woodward-Clyde 1998, Nillumbik Shire Council Land Capability Study, Nillumbik</w:t>
      </w:r>
      <w:r w:rsidR="007B3A5A">
        <w:t xml:space="preserve"> </w:t>
      </w:r>
      <w:bookmarkStart w:id="0" w:name="_GoBack"/>
      <w:bookmarkEnd w:id="0"/>
      <w:r w:rsidRPr="00DE791A">
        <w:t>Shire Council, Greensborough</w:t>
      </w:r>
    </w:p>
    <w:sectPr w:rsidR="00DE791A" w:rsidRPr="00E45B56" w:rsidSect="00DC5900">
      <w:pgSz w:w="11906" w:h="16838" w:code="9"/>
      <w:pgMar w:top="1701" w:right="1134" w:bottom="1134" w:left="1134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B56" w:rsidRPr="000D4EDE" w:rsidRDefault="00E45B56" w:rsidP="000D4EDE">
      <w:r>
        <w:separator/>
      </w:r>
    </w:p>
  </w:endnote>
  <w:endnote w:type="continuationSeparator" w:id="0">
    <w:p w:rsidR="00E45B56" w:rsidRPr="000D4EDE" w:rsidRDefault="00E45B56" w:rsidP="000D4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eSans Veolia W2 ExtraLight">
    <w:panose1 w:val="00000000000000000000"/>
    <w:charset w:val="00"/>
    <w:family w:val="swiss"/>
    <w:notTrueType/>
    <w:pitch w:val="variable"/>
    <w:sig w:usb0="A00002BF" w:usb1="5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B56" w:rsidRPr="000D4EDE" w:rsidRDefault="00E45B56" w:rsidP="000D4EDE">
      <w:r>
        <w:separator/>
      </w:r>
    </w:p>
  </w:footnote>
  <w:footnote w:type="continuationSeparator" w:id="0">
    <w:p w:rsidR="00E45B56" w:rsidRPr="000D4EDE" w:rsidRDefault="00E45B56" w:rsidP="000D4E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79CD01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B0EFFDA"/>
    <w:lvl w:ilvl="0">
      <w:start w:val="1"/>
      <w:numFmt w:val="decimal"/>
      <w:lvlText w:val="%1)"/>
      <w:lvlJc w:val="left"/>
      <w:pPr>
        <w:ind w:left="1209" w:hanging="360"/>
      </w:pPr>
    </w:lvl>
  </w:abstractNum>
  <w:abstractNum w:abstractNumId="2">
    <w:nsid w:val="FFFFFF7E"/>
    <w:multiLevelType w:val="singleLevel"/>
    <w:tmpl w:val="E8D6DD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C1654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C80639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C7C176A"/>
    <w:lvl w:ilvl="0">
      <w:start w:val="1"/>
      <w:numFmt w:val="bullet"/>
      <w:lvlText w:val=""/>
      <w:lvlJc w:val="left"/>
      <w:pPr>
        <w:ind w:left="1209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9B9634E0"/>
    <w:lvl w:ilvl="0">
      <w:start w:val="1"/>
      <w:numFmt w:val="bullet"/>
      <w:lvlText w:val="–"/>
      <w:lvlJc w:val="left"/>
      <w:pPr>
        <w:ind w:left="926" w:hanging="360"/>
      </w:pPr>
      <w:rPr>
        <w:rFonts w:ascii="TheSans Veolia W2 ExtraLight" w:hAnsi="TheSans Veolia W2 ExtraLight" w:hint="default"/>
      </w:rPr>
    </w:lvl>
  </w:abstractNum>
  <w:abstractNum w:abstractNumId="7">
    <w:nsid w:val="FFFFFF83"/>
    <w:multiLevelType w:val="singleLevel"/>
    <w:tmpl w:val="4CC48C7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F9869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CF8581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</w:abstractNum>
  <w:abstractNum w:abstractNumId="10">
    <w:nsid w:val="1E1E23EE"/>
    <w:multiLevelType w:val="multilevel"/>
    <w:tmpl w:val="992E0F54"/>
    <w:styleLink w:val="CustomHeadingList"/>
    <w:lvl w:ilvl="0">
      <w:start w:val="1"/>
      <w:numFmt w:val="decimal"/>
      <w:suff w:val="spac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1F0A6A75"/>
    <w:multiLevelType w:val="multilevel"/>
    <w:tmpl w:val="DFDC7920"/>
    <w:styleLink w:val="General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1077" w:hanging="357"/>
      </w:pPr>
      <w:rPr>
        <w:rFonts w:ascii="Arial" w:hAnsi="Arial" w:hint="default"/>
      </w:rPr>
    </w:lvl>
    <w:lvl w:ilvl="3">
      <w:start w:val="1"/>
      <w:numFmt w:val="bullet"/>
      <w:lvlText w:val=""/>
      <w:lvlJc w:val="left"/>
      <w:pPr>
        <w:ind w:left="1435" w:hanging="358"/>
      </w:pPr>
      <w:rPr>
        <w:rFonts w:ascii="Wingdings" w:hAnsi="Wingdings" w:hint="default"/>
        <w:color w:val="auto"/>
      </w:rPr>
    </w:lvl>
    <w:lvl w:ilvl="4">
      <w:start w:val="1"/>
      <w:numFmt w:val="none"/>
      <w:lvlText w:val="Notes: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2">
    <w:nsid w:val="266C3831"/>
    <w:multiLevelType w:val="hybridMultilevel"/>
    <w:tmpl w:val="B9C8CCF6"/>
    <w:lvl w:ilvl="0" w:tplc="7F4E79E8">
      <w:start w:val="1"/>
      <w:numFmt w:val="bullet"/>
      <w:pStyle w:val="BodyBullet1"/>
      <w:lvlText w:val=""/>
      <w:lvlJc w:val="left"/>
      <w:pPr>
        <w:ind w:left="1077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>
    <w:nsid w:val="2D4F791F"/>
    <w:multiLevelType w:val="hybridMultilevel"/>
    <w:tmpl w:val="F1C24B26"/>
    <w:lvl w:ilvl="0" w:tplc="678E1022">
      <w:start w:val="1"/>
      <w:numFmt w:val="bullet"/>
      <w:pStyle w:val="BodyBullet2"/>
      <w:lvlText w:val="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>
    <w:nsid w:val="408564EA"/>
    <w:multiLevelType w:val="multilevel"/>
    <w:tmpl w:val="1E5033B0"/>
    <w:lvl w:ilvl="0">
      <w:start w:val="1"/>
      <w:numFmt w:val="decimal"/>
      <w:lvlText w:val="%1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7" w:hanging="107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77" w:hanging="1077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suff w:val="space"/>
      <w:lvlText w:val="Appendix %6: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Text w:val="%7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1077"/>
        </w:tabs>
        <w:ind w:left="1077" w:hanging="357"/>
      </w:pPr>
      <w:rPr>
        <w:rFonts w:hint="default"/>
      </w:rPr>
    </w:lvl>
  </w:abstractNum>
  <w:abstractNum w:abstractNumId="15">
    <w:nsid w:val="43F148C1"/>
    <w:multiLevelType w:val="multilevel"/>
    <w:tmpl w:val="30A0F662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ListBullet2"/>
      <w:lvlText w:val=""/>
      <w:lvlJc w:val="left"/>
      <w:pPr>
        <w:ind w:left="720" w:hanging="36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pStyle w:val="ListBullet3"/>
      <w:lvlText w:val="-"/>
      <w:lvlJc w:val="left"/>
      <w:pPr>
        <w:ind w:left="1077" w:hanging="357"/>
      </w:pPr>
      <w:rPr>
        <w:rFonts w:ascii="Arial" w:hAnsi="Arial" w:hint="default"/>
      </w:rPr>
    </w:lvl>
    <w:lvl w:ilvl="3">
      <w:start w:val="1"/>
      <w:numFmt w:val="bullet"/>
      <w:pStyle w:val="ListBullet4"/>
      <w:lvlText w:val=""/>
      <w:lvlJc w:val="left"/>
      <w:pPr>
        <w:ind w:left="1435" w:hanging="358"/>
      </w:pPr>
      <w:rPr>
        <w:rFonts w:ascii="Wingdings" w:hAnsi="Wingdings" w:hint="default"/>
        <w:color w:val="auto"/>
      </w:rPr>
    </w:lvl>
    <w:lvl w:ilvl="4">
      <w:start w:val="1"/>
      <w:numFmt w:val="none"/>
      <w:pStyle w:val="Notes"/>
      <w:suff w:val="space"/>
      <w:lvlText w:val="Notes: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6">
    <w:nsid w:val="440839EF"/>
    <w:multiLevelType w:val="hybridMultilevel"/>
    <w:tmpl w:val="E9725768"/>
    <w:lvl w:ilvl="0" w:tplc="C2A6D20A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7">
    <w:nsid w:val="4A0445F4"/>
    <w:multiLevelType w:val="multilevel"/>
    <w:tmpl w:val="94B6B680"/>
    <w:styleLink w:val="Lists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454"/>
        </w:tabs>
        <w:ind w:left="454" w:hanging="227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num" w:pos="680"/>
        </w:tabs>
        <w:ind w:left="680" w:hanging="226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8">
    <w:nsid w:val="52572A3C"/>
    <w:multiLevelType w:val="multilevel"/>
    <w:tmpl w:val="F3F485EE"/>
    <w:lvl w:ilvl="0">
      <w:start w:val="1"/>
      <w:numFmt w:val="decimal"/>
      <w:lvlText w:val="%1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7" w:hanging="1077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1077" w:hanging="1077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suff w:val="space"/>
      <w:lvlText w:val="Appendix %5: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>
    <w:nsid w:val="5A426B28"/>
    <w:multiLevelType w:val="multilevel"/>
    <w:tmpl w:val="88E67880"/>
    <w:styleLink w:val="MultiLevelheadinglist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72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72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0" w:hanging="720"/>
      </w:pPr>
      <w:rPr>
        <w:rFonts w:hint="default"/>
      </w:rPr>
    </w:lvl>
  </w:abstractNum>
  <w:abstractNum w:abstractNumId="20">
    <w:nsid w:val="642C3DB9"/>
    <w:multiLevelType w:val="multilevel"/>
    <w:tmpl w:val="E0D87D34"/>
    <w:lvl w:ilvl="0">
      <w:start w:val="1"/>
      <w:numFmt w:val="decimal"/>
      <w:pStyle w:val="Heading1"/>
      <w:lvlText w:val="%1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1077" w:hanging="107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077" w:hanging="1077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pStyle w:val="AppendixHeading"/>
      <w:suff w:val="space"/>
      <w:lvlText w:val="Appendix %6:"/>
      <w:lvlJc w:val="left"/>
      <w:pPr>
        <w:ind w:left="0" w:firstLine="0"/>
      </w:pPr>
      <w:rPr>
        <w:rFonts w:hint="default"/>
        <w:b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ListNumber"/>
      <w:lvlText w:val="%7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7">
      <w:start w:val="1"/>
      <w:numFmt w:val="lowerLetter"/>
      <w:pStyle w:val="ListNumber2"/>
      <w:lvlText w:val="%8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8">
      <w:start w:val="1"/>
      <w:numFmt w:val="lowerRoman"/>
      <w:pStyle w:val="ListNumber3"/>
      <w:lvlText w:val="%9)"/>
      <w:lvlJc w:val="left"/>
      <w:pPr>
        <w:tabs>
          <w:tab w:val="num" w:pos="1077"/>
        </w:tabs>
        <w:ind w:left="1077" w:hanging="357"/>
      </w:pPr>
      <w:rPr>
        <w:rFonts w:hint="default"/>
      </w:rPr>
    </w:lvl>
  </w:abstractNum>
  <w:abstractNum w:abstractNumId="21">
    <w:nsid w:val="64363A73"/>
    <w:multiLevelType w:val="multilevel"/>
    <w:tmpl w:val="0B7AC5B6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2%1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Appendix %4:"/>
      <w:lvlJc w:val="left"/>
      <w:pPr>
        <w:ind w:left="357" w:hanging="357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077" w:hanging="357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1077" w:hanging="357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2">
    <w:nsid w:val="66522948"/>
    <w:multiLevelType w:val="hybridMultilevel"/>
    <w:tmpl w:val="DC762AC0"/>
    <w:lvl w:ilvl="0" w:tplc="87D44D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94C3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3AB1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EEBC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DCA5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4E1D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9258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A00F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4C5F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72D81143"/>
    <w:multiLevelType w:val="hybridMultilevel"/>
    <w:tmpl w:val="DA0ECEA2"/>
    <w:lvl w:ilvl="0" w:tplc="90FA73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8E6F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FA61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7A77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70D1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20F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F49C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C65F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AA27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2"/>
  </w:num>
  <w:num w:numId="2">
    <w:abstractNumId w:val="13"/>
  </w:num>
  <w:num w:numId="3">
    <w:abstractNumId w:val="9"/>
  </w:num>
  <w:num w:numId="4">
    <w:abstractNumId w:val="7"/>
  </w:num>
  <w:num w:numId="5">
    <w:abstractNumId w:val="8"/>
  </w:num>
  <w:num w:numId="6">
    <w:abstractNumId w:val="9"/>
  </w:num>
  <w:num w:numId="7">
    <w:abstractNumId w:val="9"/>
  </w:num>
  <w:num w:numId="8">
    <w:abstractNumId w:val="3"/>
  </w:num>
  <w:num w:numId="9">
    <w:abstractNumId w:val="2"/>
  </w:num>
  <w:num w:numId="10">
    <w:abstractNumId w:val="17"/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</w:num>
  <w:num w:numId="15">
    <w:abstractNumId w:val="22"/>
  </w:num>
  <w:num w:numId="16">
    <w:abstractNumId w:val="23"/>
  </w:num>
  <w:num w:numId="17">
    <w:abstractNumId w:val="6"/>
  </w:num>
  <w:num w:numId="18">
    <w:abstractNumId w:val="5"/>
  </w:num>
  <w:num w:numId="19">
    <w:abstractNumId w:val="1"/>
  </w:num>
  <w:num w:numId="20">
    <w:abstractNumId w:val="16"/>
  </w:num>
  <w:num w:numId="21">
    <w:abstractNumId w:val="4"/>
  </w:num>
  <w:num w:numId="22">
    <w:abstractNumId w:val="0"/>
  </w:num>
  <w:num w:numId="23">
    <w:abstractNumId w:val="11"/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</w:num>
  <w:num w:numId="26">
    <w:abstractNumId w:val="10"/>
  </w:num>
  <w:num w:numId="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</w:num>
  <w:num w:numId="32">
    <w:abstractNumId w:val="18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attachedTemplate r:id="rId1"/>
  <w:documentProtection w:formatting="1" w:enforcement="1" w:cryptProviderType="rsaAES" w:cryptAlgorithmClass="hash" w:cryptAlgorithmType="typeAny" w:cryptAlgorithmSid="14" w:cryptSpinCount="100000" w:hash="YXPrxfdIRAPxlJlZIIoSeH3uDJ+sT80VTzTgLcvtUbJPe2828oCMvPPOLeZZN3q5wXw1q+AmjdiKH2iv7+d0+g==" w:salt="pFCTkbQTnsIia8xuWoWyUQ=="/>
  <w:styleLockTheme/>
  <w:styleLockQFSet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4B9"/>
    <w:rsid w:val="00005D98"/>
    <w:rsid w:val="00012728"/>
    <w:rsid w:val="00034A19"/>
    <w:rsid w:val="00036F9E"/>
    <w:rsid w:val="000413B3"/>
    <w:rsid w:val="00083512"/>
    <w:rsid w:val="00086F71"/>
    <w:rsid w:val="000949AD"/>
    <w:rsid w:val="00095109"/>
    <w:rsid w:val="00096B0F"/>
    <w:rsid w:val="000A490E"/>
    <w:rsid w:val="000B63CA"/>
    <w:rsid w:val="000C14D9"/>
    <w:rsid w:val="000D4EDE"/>
    <w:rsid w:val="000E100A"/>
    <w:rsid w:val="000F5F7B"/>
    <w:rsid w:val="00123576"/>
    <w:rsid w:val="00124B21"/>
    <w:rsid w:val="001653B6"/>
    <w:rsid w:val="001820D0"/>
    <w:rsid w:val="0018235E"/>
    <w:rsid w:val="0019337A"/>
    <w:rsid w:val="001E0F51"/>
    <w:rsid w:val="001E6D6A"/>
    <w:rsid w:val="001F6E1A"/>
    <w:rsid w:val="002074B9"/>
    <w:rsid w:val="00240126"/>
    <w:rsid w:val="00252E6A"/>
    <w:rsid w:val="002551E6"/>
    <w:rsid w:val="002661A6"/>
    <w:rsid w:val="00266C23"/>
    <w:rsid w:val="00272A9F"/>
    <w:rsid w:val="00286EAD"/>
    <w:rsid w:val="0029389B"/>
    <w:rsid w:val="002A7D14"/>
    <w:rsid w:val="002B4550"/>
    <w:rsid w:val="002B6303"/>
    <w:rsid w:val="002B7504"/>
    <w:rsid w:val="002C0D97"/>
    <w:rsid w:val="002C7065"/>
    <w:rsid w:val="002C7F4A"/>
    <w:rsid w:val="002D2804"/>
    <w:rsid w:val="002F0C2C"/>
    <w:rsid w:val="00303D18"/>
    <w:rsid w:val="00307ADD"/>
    <w:rsid w:val="003130CA"/>
    <w:rsid w:val="00316A25"/>
    <w:rsid w:val="003706A1"/>
    <w:rsid w:val="00371F54"/>
    <w:rsid w:val="00383A95"/>
    <w:rsid w:val="003A3021"/>
    <w:rsid w:val="003B6E16"/>
    <w:rsid w:val="003D27CB"/>
    <w:rsid w:val="003E6BF6"/>
    <w:rsid w:val="003F0F0D"/>
    <w:rsid w:val="0040173E"/>
    <w:rsid w:val="00435324"/>
    <w:rsid w:val="00436FB3"/>
    <w:rsid w:val="00463FA8"/>
    <w:rsid w:val="00486BC5"/>
    <w:rsid w:val="00494335"/>
    <w:rsid w:val="004B584E"/>
    <w:rsid w:val="004C1106"/>
    <w:rsid w:val="004E2269"/>
    <w:rsid w:val="00503A51"/>
    <w:rsid w:val="00503F9E"/>
    <w:rsid w:val="00512309"/>
    <w:rsid w:val="0054526E"/>
    <w:rsid w:val="005476B5"/>
    <w:rsid w:val="005748CB"/>
    <w:rsid w:val="005A3F63"/>
    <w:rsid w:val="005B073E"/>
    <w:rsid w:val="005B227F"/>
    <w:rsid w:val="005B7801"/>
    <w:rsid w:val="005D5FAE"/>
    <w:rsid w:val="005E074A"/>
    <w:rsid w:val="005F29B7"/>
    <w:rsid w:val="00606EB5"/>
    <w:rsid w:val="00617FDA"/>
    <w:rsid w:val="00634E4C"/>
    <w:rsid w:val="00636B8B"/>
    <w:rsid w:val="006427FE"/>
    <w:rsid w:val="006506C1"/>
    <w:rsid w:val="0066674D"/>
    <w:rsid w:val="00666A78"/>
    <w:rsid w:val="00692424"/>
    <w:rsid w:val="0069375D"/>
    <w:rsid w:val="0069407C"/>
    <w:rsid w:val="0069574E"/>
    <w:rsid w:val="006A01B1"/>
    <w:rsid w:val="006D0284"/>
    <w:rsid w:val="006F145A"/>
    <w:rsid w:val="006F27CB"/>
    <w:rsid w:val="006F5865"/>
    <w:rsid w:val="00755163"/>
    <w:rsid w:val="00756AAB"/>
    <w:rsid w:val="00757F63"/>
    <w:rsid w:val="007645AE"/>
    <w:rsid w:val="00764992"/>
    <w:rsid w:val="00773673"/>
    <w:rsid w:val="00775AA0"/>
    <w:rsid w:val="007A0FA2"/>
    <w:rsid w:val="007A6E88"/>
    <w:rsid w:val="007B3A5A"/>
    <w:rsid w:val="007B5ECC"/>
    <w:rsid w:val="007C08B1"/>
    <w:rsid w:val="007C2CC2"/>
    <w:rsid w:val="007C39E4"/>
    <w:rsid w:val="007C5F64"/>
    <w:rsid w:val="007C79AA"/>
    <w:rsid w:val="007E525D"/>
    <w:rsid w:val="007F2954"/>
    <w:rsid w:val="00824E28"/>
    <w:rsid w:val="00845843"/>
    <w:rsid w:val="008637EC"/>
    <w:rsid w:val="00870BC6"/>
    <w:rsid w:val="00885A14"/>
    <w:rsid w:val="0088689B"/>
    <w:rsid w:val="0089031E"/>
    <w:rsid w:val="00890FA0"/>
    <w:rsid w:val="008A214D"/>
    <w:rsid w:val="008A72D2"/>
    <w:rsid w:val="008B6868"/>
    <w:rsid w:val="008C6A43"/>
    <w:rsid w:val="008D080C"/>
    <w:rsid w:val="008F66EC"/>
    <w:rsid w:val="00906799"/>
    <w:rsid w:val="00924152"/>
    <w:rsid w:val="0093194D"/>
    <w:rsid w:val="00934C3F"/>
    <w:rsid w:val="009417AE"/>
    <w:rsid w:val="00952D4C"/>
    <w:rsid w:val="009979F4"/>
    <w:rsid w:val="009A45B2"/>
    <w:rsid w:val="009B3FBF"/>
    <w:rsid w:val="009D2DDD"/>
    <w:rsid w:val="00A24D11"/>
    <w:rsid w:val="00A33802"/>
    <w:rsid w:val="00A37E51"/>
    <w:rsid w:val="00A62D31"/>
    <w:rsid w:val="00A97E3B"/>
    <w:rsid w:val="00AB039E"/>
    <w:rsid w:val="00AC286B"/>
    <w:rsid w:val="00AF129F"/>
    <w:rsid w:val="00B0348A"/>
    <w:rsid w:val="00B12DC9"/>
    <w:rsid w:val="00B13F84"/>
    <w:rsid w:val="00B15ABA"/>
    <w:rsid w:val="00B23077"/>
    <w:rsid w:val="00B41D8E"/>
    <w:rsid w:val="00B42B2F"/>
    <w:rsid w:val="00B472E1"/>
    <w:rsid w:val="00B6789D"/>
    <w:rsid w:val="00B71170"/>
    <w:rsid w:val="00B81740"/>
    <w:rsid w:val="00B85D7B"/>
    <w:rsid w:val="00B900EA"/>
    <w:rsid w:val="00B91069"/>
    <w:rsid w:val="00BC2832"/>
    <w:rsid w:val="00BD06AB"/>
    <w:rsid w:val="00BD74A8"/>
    <w:rsid w:val="00C00FDA"/>
    <w:rsid w:val="00C04E4B"/>
    <w:rsid w:val="00C235A8"/>
    <w:rsid w:val="00C62BF5"/>
    <w:rsid w:val="00C636DA"/>
    <w:rsid w:val="00C72271"/>
    <w:rsid w:val="00C8017D"/>
    <w:rsid w:val="00C8274D"/>
    <w:rsid w:val="00CA1EAA"/>
    <w:rsid w:val="00CA6FF9"/>
    <w:rsid w:val="00CB4238"/>
    <w:rsid w:val="00CC176E"/>
    <w:rsid w:val="00CC34EB"/>
    <w:rsid w:val="00CC4A14"/>
    <w:rsid w:val="00CC66EA"/>
    <w:rsid w:val="00CE2E48"/>
    <w:rsid w:val="00D021F7"/>
    <w:rsid w:val="00D078A2"/>
    <w:rsid w:val="00D20D27"/>
    <w:rsid w:val="00D461C2"/>
    <w:rsid w:val="00D61AAE"/>
    <w:rsid w:val="00D61CFD"/>
    <w:rsid w:val="00D637B7"/>
    <w:rsid w:val="00D63A2B"/>
    <w:rsid w:val="00D70BFB"/>
    <w:rsid w:val="00DA4C48"/>
    <w:rsid w:val="00DA727D"/>
    <w:rsid w:val="00DB53A7"/>
    <w:rsid w:val="00DC5900"/>
    <w:rsid w:val="00DD170F"/>
    <w:rsid w:val="00DE0A8A"/>
    <w:rsid w:val="00DE791A"/>
    <w:rsid w:val="00DF6E54"/>
    <w:rsid w:val="00E04228"/>
    <w:rsid w:val="00E04457"/>
    <w:rsid w:val="00E04BBC"/>
    <w:rsid w:val="00E159D7"/>
    <w:rsid w:val="00E21653"/>
    <w:rsid w:val="00E2414E"/>
    <w:rsid w:val="00E45B56"/>
    <w:rsid w:val="00E7257D"/>
    <w:rsid w:val="00E84A6B"/>
    <w:rsid w:val="00E92385"/>
    <w:rsid w:val="00E96DEA"/>
    <w:rsid w:val="00EA1FBB"/>
    <w:rsid w:val="00EA48AE"/>
    <w:rsid w:val="00EC457D"/>
    <w:rsid w:val="00EF2A15"/>
    <w:rsid w:val="00EF5BFD"/>
    <w:rsid w:val="00F34D63"/>
    <w:rsid w:val="00F34DCA"/>
    <w:rsid w:val="00F42EC2"/>
    <w:rsid w:val="00F76C98"/>
    <w:rsid w:val="00F80750"/>
    <w:rsid w:val="00F85F59"/>
    <w:rsid w:val="00F86DD4"/>
    <w:rsid w:val="00FB4CF2"/>
    <w:rsid w:val="00FF5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4"/>
        <w:lang w:val="en-AU" w:eastAsia="en-US" w:bidi="ar-SA"/>
      </w:rPr>
    </w:rPrDefault>
    <w:pPrDefault>
      <w:pPr>
        <w:spacing w:before="120" w:after="12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locked="0" w:uiPriority="9" w:qFormat="1"/>
    <w:lsdException w:name="heading 5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 w:semiHidden="0"/>
    <w:lsdException w:name="header" w:locked="0" w:semiHidden="0"/>
    <w:lsdException w:name="footer" w:locked="0" w:semiHidden="0"/>
    <w:lsdException w:name="caption" w:semiHidden="0" w:uiPriority="35" w:qFormat="1"/>
    <w:lsdException w:name="footnote reference" w:locked="0" w:semiHidden="0"/>
    <w:lsdException w:name="endnote reference" w:locked="0" w:semiHidden="0"/>
    <w:lsdException w:name="endnote text" w:locked="0" w:semiHidden="0"/>
    <w:lsdException w:name="List Bullet" w:semiHidden="0" w:qFormat="1"/>
    <w:lsdException w:name="List Number" w:semiHidden="0" w:unhideWhenUsed="0" w:qFormat="1"/>
    <w:lsdException w:name="List Bullet 2" w:semiHidden="0" w:qFormat="1"/>
    <w:lsdException w:name="List Bullet 3" w:semiHidden="0" w:qFormat="1"/>
    <w:lsdException w:name="List Bullet 4" w:semiHidden="0" w:qFormat="1"/>
    <w:lsdException w:name="List Number 2" w:semiHidden="0" w:qFormat="1"/>
    <w:lsdException w:name="List Number 3" w:semiHidden="0" w:qFormat="1"/>
    <w:lsdException w:name="List Number 4" w:semiHidden="0" w:qFormat="1"/>
    <w:lsdException w:name="Title" w:semiHidden="0" w:uiPriority="10" w:unhideWhenUsed="0" w:qFormat="1"/>
    <w:lsdException w:name="Default Paragraph Font" w:locked="0" w:uiPriority="1"/>
    <w:lsdException w:name="Subtitle" w:uiPriority="11" w:qFormat="1"/>
    <w:lsdException w:name="Hyperlink" w:locked="0"/>
    <w:lsdException w:name="FollowedHyperlink" w:locked="0" w:semiHidden="0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59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qFormat="1"/>
  </w:latentStyles>
  <w:style w:type="paragraph" w:default="1" w:styleId="Normal">
    <w:name w:val="Normal"/>
    <w:qFormat/>
    <w:rsid w:val="00DC5900"/>
  </w:style>
  <w:style w:type="paragraph" w:styleId="Heading1">
    <w:name w:val="heading 1"/>
    <w:basedOn w:val="Normal"/>
    <w:next w:val="Normal"/>
    <w:link w:val="Heading1Char"/>
    <w:uiPriority w:val="9"/>
    <w:unhideWhenUsed/>
    <w:qFormat/>
    <w:rsid w:val="00012728"/>
    <w:pPr>
      <w:keepNext/>
      <w:keepLines/>
      <w:numPr>
        <w:numId w:val="31"/>
      </w:numPr>
      <w:spacing w:before="240"/>
      <w:outlineLvl w:val="0"/>
    </w:pPr>
    <w:rPr>
      <w:rFonts w:asciiTheme="majorHAnsi" w:eastAsiaTheme="majorEastAsia" w:hAnsiTheme="majorHAnsi" w:cstheme="majorBidi"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2728"/>
    <w:pPr>
      <w:keepNext/>
      <w:keepLines/>
      <w:numPr>
        <w:ilvl w:val="1"/>
        <w:numId w:val="31"/>
      </w:numPr>
      <w:spacing w:before="240"/>
      <w:outlineLvl w:val="1"/>
    </w:pPr>
    <w:rPr>
      <w:rFonts w:asciiTheme="majorHAnsi" w:eastAsiaTheme="majorEastAsia" w:hAnsiTheme="majorHAnsi" w:cstheme="majorBidi"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012728"/>
    <w:pPr>
      <w:keepNext/>
      <w:keepLines/>
      <w:numPr>
        <w:ilvl w:val="2"/>
        <w:numId w:val="31"/>
      </w:numPr>
      <w:spacing w:before="240"/>
      <w:outlineLvl w:val="2"/>
    </w:pPr>
    <w:rPr>
      <w:rFonts w:asciiTheme="majorHAnsi" w:eastAsiaTheme="majorEastAsia" w:hAnsiTheme="majorHAnsi" w:cstheme="majorBidi"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31E"/>
    <w:pPr>
      <w:keepNext/>
      <w:keepLines/>
      <w:numPr>
        <w:ilvl w:val="3"/>
        <w:numId w:val="31"/>
      </w:numPr>
      <w:spacing w:before="240"/>
      <w:outlineLvl w:val="3"/>
    </w:pPr>
    <w:rPr>
      <w:rFonts w:asciiTheme="majorHAnsi" w:eastAsiaTheme="majorEastAsia" w:hAnsiTheme="majorHAnsi" w:cstheme="majorBidi"/>
      <w:bCs/>
      <w:iCs/>
      <w:color w:val="000000" w:themeColor="text1"/>
      <w:sz w:val="32"/>
    </w:rPr>
  </w:style>
  <w:style w:type="paragraph" w:styleId="Heading5">
    <w:name w:val="heading 5"/>
    <w:basedOn w:val="Normal"/>
    <w:next w:val="Normal"/>
    <w:link w:val="Heading5Char"/>
    <w:uiPriority w:val="9"/>
    <w:qFormat/>
    <w:rsid w:val="00B41D8E"/>
    <w:pPr>
      <w:keepNext/>
      <w:keepLines/>
      <w:numPr>
        <w:ilvl w:val="4"/>
        <w:numId w:val="31"/>
      </w:numPr>
      <w:spacing w:before="240"/>
      <w:outlineLvl w:val="4"/>
    </w:pPr>
    <w:rPr>
      <w:rFonts w:asciiTheme="majorHAnsi" w:eastAsiaTheme="majorEastAsia" w:hAnsiTheme="majorHAnsi" w:cstheme="majorBidi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locked/>
    <w:rsid w:val="00F8075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2235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locked/>
    <w:rsid w:val="00F8075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locked/>
    <w:rsid w:val="00F8075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locked/>
    <w:rsid w:val="00F8075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2728"/>
    <w:rPr>
      <w:rFonts w:asciiTheme="majorHAnsi" w:eastAsiaTheme="majorEastAsia" w:hAnsiTheme="majorHAnsi" w:cstheme="majorBidi"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12728"/>
    <w:rPr>
      <w:rFonts w:asciiTheme="majorHAnsi" w:eastAsiaTheme="majorEastAsia" w:hAnsiTheme="majorHAnsi" w:cstheme="majorBidi"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12728"/>
    <w:rPr>
      <w:rFonts w:asciiTheme="majorHAnsi" w:eastAsiaTheme="majorEastAsia" w:hAnsiTheme="majorHAnsi" w:cstheme="majorBidi"/>
      <w:bCs/>
      <w:sz w:val="26"/>
    </w:rPr>
  </w:style>
  <w:style w:type="paragraph" w:customStyle="1" w:styleId="CoverSubtitle">
    <w:name w:val="Cover Subtitle"/>
    <w:basedOn w:val="Normal"/>
    <w:next w:val="CoverIntroductionText"/>
    <w:uiPriority w:val="20"/>
    <w:qFormat/>
    <w:rsid w:val="009417AE"/>
    <w:pPr>
      <w:spacing w:after="0"/>
    </w:pPr>
    <w:rPr>
      <w:rFonts w:asciiTheme="majorHAnsi" w:hAnsiTheme="majorHAnsi"/>
      <w:sz w:val="36"/>
    </w:rPr>
  </w:style>
  <w:style w:type="paragraph" w:customStyle="1" w:styleId="BodyBullet1">
    <w:name w:val="Body Bullet 1"/>
    <w:basedOn w:val="Normal"/>
    <w:semiHidden/>
    <w:qFormat/>
    <w:locked/>
    <w:rsid w:val="008A72D2"/>
    <w:pPr>
      <w:numPr>
        <w:numId w:val="1"/>
      </w:numPr>
      <w:spacing w:line="240" w:lineRule="atLeast"/>
      <w:ind w:left="714" w:hanging="357"/>
      <w:contextualSpacing/>
    </w:pPr>
  </w:style>
  <w:style w:type="paragraph" w:customStyle="1" w:styleId="BodyBullet2">
    <w:name w:val="Body Bullet 2"/>
    <w:basedOn w:val="BodyBullet1"/>
    <w:semiHidden/>
    <w:qFormat/>
    <w:locked/>
    <w:rsid w:val="008A72D2"/>
    <w:pPr>
      <w:numPr>
        <w:numId w:val="2"/>
      </w:numPr>
      <w:ind w:hanging="357"/>
    </w:pPr>
  </w:style>
  <w:style w:type="paragraph" w:customStyle="1" w:styleId="CoverIntroductionText">
    <w:name w:val="Cover Introduction Text"/>
    <w:basedOn w:val="Normal"/>
    <w:uiPriority w:val="20"/>
    <w:rsid w:val="003E6BF6"/>
    <w:pPr>
      <w:spacing w:after="113"/>
    </w:pPr>
    <w:rPr>
      <w:color w:val="000000" w:themeColor="text1"/>
      <w:spacing w:val="-2"/>
    </w:rPr>
  </w:style>
  <w:style w:type="character" w:customStyle="1" w:styleId="Heading4Char">
    <w:name w:val="Heading 4 Char"/>
    <w:basedOn w:val="DefaultParagraphFont"/>
    <w:link w:val="Heading4"/>
    <w:uiPriority w:val="9"/>
    <w:rsid w:val="0089031E"/>
    <w:rPr>
      <w:rFonts w:asciiTheme="majorHAnsi" w:eastAsiaTheme="majorEastAsia" w:hAnsiTheme="majorHAnsi" w:cstheme="majorBidi"/>
      <w:bCs/>
      <w:iCs/>
      <w:color w:val="000000" w:themeColor="text1"/>
      <w:sz w:val="32"/>
    </w:rPr>
  </w:style>
  <w:style w:type="paragraph" w:styleId="ListBullet">
    <w:name w:val="List Bullet"/>
    <w:basedOn w:val="Normal"/>
    <w:uiPriority w:val="16"/>
    <w:qFormat/>
    <w:rsid w:val="00503A51"/>
    <w:pPr>
      <w:numPr>
        <w:numId w:val="25"/>
      </w:numPr>
    </w:pPr>
  </w:style>
  <w:style w:type="paragraph" w:styleId="ListBullet2">
    <w:name w:val="List Bullet 2"/>
    <w:basedOn w:val="ListBullet"/>
    <w:uiPriority w:val="16"/>
    <w:qFormat/>
    <w:rsid w:val="00503A51"/>
    <w:pPr>
      <w:numPr>
        <w:ilvl w:val="1"/>
      </w:numPr>
    </w:pPr>
    <w:rPr>
      <w:color w:val="000000" w:themeColor="text1"/>
    </w:rPr>
  </w:style>
  <w:style w:type="paragraph" w:styleId="ListNumber">
    <w:name w:val="List Number"/>
    <w:basedOn w:val="Normal"/>
    <w:uiPriority w:val="16"/>
    <w:qFormat/>
    <w:rsid w:val="00E84A6B"/>
    <w:pPr>
      <w:numPr>
        <w:ilvl w:val="6"/>
        <w:numId w:val="31"/>
      </w:numPr>
    </w:pPr>
  </w:style>
  <w:style w:type="paragraph" w:styleId="ListNumber2">
    <w:name w:val="List Number 2"/>
    <w:basedOn w:val="Normal"/>
    <w:uiPriority w:val="16"/>
    <w:qFormat/>
    <w:rsid w:val="00E84A6B"/>
    <w:pPr>
      <w:numPr>
        <w:ilvl w:val="7"/>
        <w:numId w:val="31"/>
      </w:numPr>
    </w:pPr>
  </w:style>
  <w:style w:type="numbering" w:customStyle="1" w:styleId="Lists">
    <w:name w:val="Lists"/>
    <w:uiPriority w:val="99"/>
    <w:rsid w:val="00CB4238"/>
    <w:pPr>
      <w:numPr>
        <w:numId w:val="10"/>
      </w:numPr>
    </w:pPr>
  </w:style>
  <w:style w:type="paragraph" w:styleId="ListNumber3">
    <w:name w:val="List Number 3"/>
    <w:basedOn w:val="Normal"/>
    <w:uiPriority w:val="16"/>
    <w:qFormat/>
    <w:rsid w:val="00EA48AE"/>
    <w:pPr>
      <w:numPr>
        <w:ilvl w:val="8"/>
        <w:numId w:val="31"/>
      </w:numPr>
    </w:pPr>
  </w:style>
  <w:style w:type="paragraph" w:styleId="Title">
    <w:name w:val="Title"/>
    <w:basedOn w:val="Normal"/>
    <w:next w:val="CoverSubtitle"/>
    <w:link w:val="TitleChar"/>
    <w:uiPriority w:val="18"/>
    <w:qFormat/>
    <w:rsid w:val="00AC286B"/>
    <w:pPr>
      <w:spacing w:before="240" w:after="240"/>
    </w:pPr>
    <w:rPr>
      <w:rFonts w:asciiTheme="majorHAnsi" w:eastAsiaTheme="majorEastAsia" w:hAnsiTheme="majorHAnsi" w:cstheme="majorBidi"/>
      <w:b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8"/>
    <w:rsid w:val="00DC5900"/>
    <w:rPr>
      <w:rFonts w:asciiTheme="majorHAnsi" w:eastAsiaTheme="majorEastAsia" w:hAnsiTheme="majorHAnsi" w:cstheme="majorBidi"/>
      <w:b/>
      <w:sz w:val="40"/>
      <w:szCs w:val="52"/>
    </w:rPr>
  </w:style>
  <w:style w:type="numbering" w:customStyle="1" w:styleId="MultiLevelheadinglist">
    <w:name w:val="Multi Level heading list"/>
    <w:uiPriority w:val="99"/>
    <w:rsid w:val="00D461C2"/>
    <w:pPr>
      <w:numPr>
        <w:numId w:val="12"/>
      </w:numPr>
    </w:pPr>
  </w:style>
  <w:style w:type="paragraph" w:styleId="TOC1">
    <w:name w:val="toc 1"/>
    <w:basedOn w:val="Normal"/>
    <w:next w:val="Normal"/>
    <w:autoRedefine/>
    <w:uiPriority w:val="39"/>
    <w:rsid w:val="009417AE"/>
    <w:pPr>
      <w:tabs>
        <w:tab w:val="left" w:pos="440"/>
        <w:tab w:val="right" w:leader="dot" w:pos="10546"/>
      </w:tabs>
      <w:spacing w:before="57" w:after="57"/>
      <w:contextualSpacing/>
    </w:pPr>
    <w:rPr>
      <w:sz w:val="26"/>
    </w:rPr>
  </w:style>
  <w:style w:type="paragraph" w:styleId="TOCHeading">
    <w:name w:val="TOC Heading"/>
    <w:basedOn w:val="Heading1"/>
    <w:next w:val="Normal"/>
    <w:uiPriority w:val="39"/>
    <w:qFormat/>
    <w:rsid w:val="003E6BF6"/>
    <w:pPr>
      <w:numPr>
        <w:numId w:val="0"/>
      </w:numPr>
      <w:outlineLvl w:val="9"/>
    </w:pPr>
  </w:style>
  <w:style w:type="paragraph" w:styleId="Footer">
    <w:name w:val="footer"/>
    <w:basedOn w:val="Normal"/>
    <w:link w:val="FooterChar"/>
    <w:uiPriority w:val="99"/>
    <w:rsid w:val="0069407C"/>
    <w:pPr>
      <w:tabs>
        <w:tab w:val="center" w:pos="4513"/>
        <w:tab w:val="right" w:pos="9026"/>
      </w:tabs>
      <w:spacing w:line="200" w:lineRule="exact"/>
    </w:pPr>
    <w:rPr>
      <w:rFonts w:asciiTheme="majorHAnsi" w:hAnsiTheme="majorHAnsi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69407C"/>
    <w:rPr>
      <w:rFonts w:asciiTheme="majorHAnsi" w:hAnsiTheme="majorHAnsi"/>
      <w:sz w:val="16"/>
    </w:rPr>
  </w:style>
  <w:style w:type="paragraph" w:styleId="ListBullet3">
    <w:name w:val="List Bullet 3"/>
    <w:basedOn w:val="Normal"/>
    <w:uiPriority w:val="16"/>
    <w:qFormat/>
    <w:rsid w:val="00503A51"/>
    <w:pPr>
      <w:numPr>
        <w:ilvl w:val="2"/>
        <w:numId w:val="25"/>
      </w:numPr>
      <w:contextualSpacing/>
    </w:pPr>
  </w:style>
  <w:style w:type="paragraph" w:styleId="ListBullet4">
    <w:name w:val="List Bullet 4"/>
    <w:basedOn w:val="Normal"/>
    <w:uiPriority w:val="16"/>
    <w:qFormat/>
    <w:rsid w:val="00503A51"/>
    <w:pPr>
      <w:numPr>
        <w:ilvl w:val="3"/>
        <w:numId w:val="25"/>
      </w:numPr>
      <w:contextualSpacing/>
    </w:pPr>
  </w:style>
  <w:style w:type="table" w:styleId="TableGrid">
    <w:name w:val="Table Grid"/>
    <w:basedOn w:val="TableNormal"/>
    <w:uiPriority w:val="59"/>
    <w:rsid w:val="00DC5900"/>
    <w:pPr>
      <w:spacing w:before="57" w:after="57"/>
      <w:ind w:left="108" w:right="108"/>
    </w:pPr>
    <w:tblPr>
      <w:tblBorders>
        <w:top w:val="single" w:sz="4" w:space="0" w:color="CDC3BD" w:themeColor="accent3"/>
        <w:left w:val="single" w:sz="4" w:space="0" w:color="CDC3BD" w:themeColor="accent3"/>
        <w:bottom w:val="single" w:sz="4" w:space="0" w:color="CDC3BD" w:themeColor="accent3"/>
        <w:right w:val="single" w:sz="4" w:space="0" w:color="CDC3BD" w:themeColor="accent3"/>
        <w:insideH w:val="single" w:sz="4" w:space="0" w:color="CDC3BD" w:themeColor="accent3"/>
        <w:insideV w:val="single" w:sz="4" w:space="0" w:color="CDC3BD" w:themeColor="accent3"/>
      </w:tblBorders>
      <w:tblCellMar>
        <w:left w:w="0" w:type="dxa"/>
        <w:right w:w="0" w:type="dxa"/>
      </w:tblCellMar>
    </w:tblPr>
    <w:tblStylePr w:type="firstRow">
      <w:rPr>
        <w:b/>
      </w:rPr>
      <w:tblPr/>
      <w:trPr>
        <w:tblHeader/>
      </w:trPr>
      <w:tcPr>
        <w:shd w:val="clear" w:color="auto" w:fill="00456B" w:themeFill="accent1"/>
      </w:tcPr>
    </w:tblStylePr>
  </w:style>
  <w:style w:type="paragraph" w:styleId="Caption">
    <w:name w:val="caption"/>
    <w:basedOn w:val="Normal"/>
    <w:next w:val="Normal"/>
    <w:uiPriority w:val="35"/>
    <w:qFormat/>
    <w:rsid w:val="003E6BF6"/>
    <w:pPr>
      <w:spacing w:after="340"/>
    </w:pPr>
    <w:rPr>
      <w:b/>
      <w:bCs/>
      <w:sz w:val="20"/>
      <w:szCs w:val="18"/>
    </w:rPr>
  </w:style>
  <w:style w:type="paragraph" w:styleId="Header">
    <w:name w:val="header"/>
    <w:basedOn w:val="Normal"/>
    <w:link w:val="HeaderChar"/>
    <w:uiPriority w:val="99"/>
    <w:rsid w:val="00755163"/>
    <w:pPr>
      <w:tabs>
        <w:tab w:val="center" w:pos="4513"/>
        <w:tab w:val="right" w:pos="9026"/>
      </w:tabs>
      <w:spacing w:after="0" w:line="240" w:lineRule="auto"/>
      <w:jc w:val="righ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755163"/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C63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6DA"/>
    <w:rPr>
      <w:rFonts w:ascii="Tahoma" w:hAnsi="Tahoma" w:cs="Tahoma"/>
      <w:noProof w:val="0"/>
      <w:sz w:val="16"/>
      <w:szCs w:val="16"/>
      <w:lang w:val="en-AU"/>
    </w:rPr>
  </w:style>
  <w:style w:type="character" w:styleId="PlaceholderText">
    <w:name w:val="Placeholder Text"/>
    <w:basedOn w:val="DefaultParagraphFont"/>
    <w:uiPriority w:val="99"/>
    <w:unhideWhenUsed/>
    <w:rsid w:val="00764992"/>
    <w:rPr>
      <w:noProof w:val="0"/>
      <w:color w:val="808080"/>
      <w:sz w:val="16"/>
      <w:lang w:val="en-AU"/>
    </w:rPr>
  </w:style>
  <w:style w:type="paragraph" w:styleId="ListNumber4">
    <w:name w:val="List Number 4"/>
    <w:basedOn w:val="Normal"/>
    <w:uiPriority w:val="16"/>
    <w:semiHidden/>
    <w:qFormat/>
    <w:locked/>
    <w:rsid w:val="00DA4C48"/>
    <w:pPr>
      <w:contextualSpacing/>
    </w:pPr>
  </w:style>
  <w:style w:type="character" w:styleId="Hyperlink">
    <w:name w:val="Hyperlink"/>
    <w:basedOn w:val="DefaultParagraphFont"/>
    <w:uiPriority w:val="99"/>
    <w:rsid w:val="006427FE"/>
    <w:rPr>
      <w:noProof w:val="0"/>
      <w:color w:val="E58E1A" w:themeColor="hyperlink"/>
      <w:u w:val="single"/>
      <w:lang w:val="en-AU"/>
    </w:rPr>
  </w:style>
  <w:style w:type="paragraph" w:styleId="Bibliography">
    <w:name w:val="Bibliography"/>
    <w:basedOn w:val="Normal"/>
    <w:next w:val="Normal"/>
    <w:uiPriority w:val="37"/>
    <w:semiHidden/>
    <w:unhideWhenUsed/>
    <w:locked/>
    <w:rsid w:val="00F80750"/>
  </w:style>
  <w:style w:type="paragraph" w:styleId="BlockText">
    <w:name w:val="Block Text"/>
    <w:basedOn w:val="Normal"/>
    <w:uiPriority w:val="99"/>
    <w:semiHidden/>
    <w:unhideWhenUsed/>
    <w:locked/>
    <w:rsid w:val="00F80750"/>
    <w:pPr>
      <w:pBdr>
        <w:top w:val="single" w:sz="2" w:space="10" w:color="00456B" w:themeColor="accent1"/>
        <w:left w:val="single" w:sz="2" w:space="10" w:color="00456B" w:themeColor="accent1"/>
        <w:bottom w:val="single" w:sz="2" w:space="10" w:color="00456B" w:themeColor="accent1"/>
        <w:right w:val="single" w:sz="2" w:space="10" w:color="00456B" w:themeColor="accent1"/>
      </w:pBdr>
      <w:ind w:left="1152" w:right="1152"/>
    </w:pPr>
    <w:rPr>
      <w:rFonts w:asciiTheme="minorHAnsi" w:eastAsiaTheme="minorEastAsia" w:hAnsiTheme="minorHAnsi"/>
      <w:i/>
      <w:iCs/>
      <w:color w:val="00456B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locked/>
    <w:rsid w:val="00F80750"/>
  </w:style>
  <w:style w:type="character" w:customStyle="1" w:styleId="BodyTextChar">
    <w:name w:val="Body Text Char"/>
    <w:basedOn w:val="DefaultParagraphFont"/>
    <w:link w:val="BodyText"/>
    <w:uiPriority w:val="99"/>
    <w:semiHidden/>
    <w:rsid w:val="00F80750"/>
    <w:rPr>
      <w:noProof w:val="0"/>
      <w:lang w:val="en-AU"/>
    </w:rPr>
  </w:style>
  <w:style w:type="paragraph" w:styleId="BodyText2">
    <w:name w:val="Body Text 2"/>
    <w:basedOn w:val="Normal"/>
    <w:link w:val="BodyText2Char"/>
    <w:uiPriority w:val="99"/>
    <w:semiHidden/>
    <w:unhideWhenUsed/>
    <w:locked/>
    <w:rsid w:val="00F8075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80750"/>
    <w:rPr>
      <w:noProof w:val="0"/>
      <w:lang w:val="en-AU"/>
    </w:rPr>
  </w:style>
  <w:style w:type="paragraph" w:styleId="BodyText3">
    <w:name w:val="Body Text 3"/>
    <w:basedOn w:val="Normal"/>
    <w:link w:val="BodyText3Char"/>
    <w:uiPriority w:val="99"/>
    <w:semiHidden/>
    <w:unhideWhenUsed/>
    <w:locked/>
    <w:rsid w:val="00F8075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80750"/>
    <w:rPr>
      <w:noProof w:val="0"/>
      <w:sz w:val="16"/>
      <w:szCs w:val="16"/>
      <w:lang w:val="en-AU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locked/>
    <w:rsid w:val="00F80750"/>
    <w:pPr>
      <w:spacing w:after="17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80750"/>
    <w:rPr>
      <w:noProof w:val="0"/>
      <w:lang w:val="en-AU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locked/>
    <w:rsid w:val="00F80750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80750"/>
    <w:rPr>
      <w:noProof w:val="0"/>
      <w:lang w:val="en-AU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locked/>
    <w:rsid w:val="00F80750"/>
    <w:pPr>
      <w:spacing w:after="17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80750"/>
    <w:rPr>
      <w:noProof w:val="0"/>
      <w:lang w:val="en-AU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locked/>
    <w:rsid w:val="00F80750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80750"/>
    <w:rPr>
      <w:noProof w:val="0"/>
      <w:lang w:val="en-AU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locked/>
    <w:rsid w:val="00F80750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80750"/>
    <w:rPr>
      <w:noProof w:val="0"/>
      <w:sz w:val="16"/>
      <w:szCs w:val="16"/>
      <w:lang w:val="en-AU"/>
    </w:rPr>
  </w:style>
  <w:style w:type="character" w:styleId="BookTitle">
    <w:name w:val="Book Title"/>
    <w:basedOn w:val="DefaultParagraphFont"/>
    <w:uiPriority w:val="33"/>
    <w:semiHidden/>
    <w:qFormat/>
    <w:locked/>
    <w:rsid w:val="00F80750"/>
    <w:rPr>
      <w:b/>
      <w:bCs/>
      <w:smallCaps/>
      <w:noProof w:val="0"/>
      <w:spacing w:val="5"/>
      <w:lang w:val="en-AU"/>
    </w:rPr>
  </w:style>
  <w:style w:type="paragraph" w:styleId="Closing">
    <w:name w:val="Closing"/>
    <w:basedOn w:val="Normal"/>
    <w:link w:val="ClosingChar"/>
    <w:uiPriority w:val="99"/>
    <w:semiHidden/>
    <w:unhideWhenUsed/>
    <w:locked/>
    <w:rsid w:val="00F80750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80750"/>
    <w:rPr>
      <w:noProof w:val="0"/>
      <w:lang w:val="en-AU"/>
    </w:rPr>
  </w:style>
  <w:style w:type="table" w:styleId="ColorfulGrid">
    <w:name w:val="Colorful Grid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EE2FF" w:themeFill="accent1" w:themeFillTint="33"/>
    </w:tcPr>
    <w:tblStylePr w:type="firstRow">
      <w:rPr>
        <w:b/>
        <w:bCs/>
      </w:rPr>
      <w:tblPr/>
      <w:tcPr>
        <w:shd w:val="clear" w:color="auto" w:fill="5DC5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DC5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335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3350" w:themeFill="accent1" w:themeFillShade="BF"/>
      </w:tcPr>
    </w:tblStylePr>
    <w:tblStylePr w:type="band1Vert">
      <w:tblPr/>
      <w:tcPr>
        <w:shd w:val="clear" w:color="auto" w:fill="36B7FF" w:themeFill="accent1" w:themeFillTint="7F"/>
      </w:tcPr>
    </w:tblStylePr>
    <w:tblStylePr w:type="band1Horz">
      <w:tblPr/>
      <w:tcPr>
        <w:shd w:val="clear" w:color="auto" w:fill="36B7FF" w:themeFill="accent1" w:themeFillTint="7F"/>
      </w:tcPr>
    </w:tblStylePr>
  </w:style>
  <w:style w:type="table" w:styleId="ColorfulGrid-Accent2">
    <w:name w:val="Colorful Grid Accent 2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8D1" w:themeFill="accent2" w:themeFillTint="33"/>
    </w:tcPr>
    <w:tblStylePr w:type="firstRow">
      <w:rPr>
        <w:b/>
        <w:bCs/>
      </w:rPr>
      <w:tblPr/>
      <w:tcPr>
        <w:shd w:val="clear" w:color="auto" w:fill="F4D1A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D1A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B691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B6913" w:themeFill="accent2" w:themeFillShade="BF"/>
      </w:tcPr>
    </w:tblStylePr>
    <w:tblStylePr w:type="band1Vert">
      <w:tblPr/>
      <w:tcPr>
        <w:shd w:val="clear" w:color="auto" w:fill="F2C68C" w:themeFill="accent2" w:themeFillTint="7F"/>
      </w:tcPr>
    </w:tblStylePr>
    <w:tblStylePr w:type="band1Horz">
      <w:tblPr/>
      <w:tcPr>
        <w:shd w:val="clear" w:color="auto" w:fill="F2C68C" w:themeFill="accent2" w:themeFillTint="7F"/>
      </w:tcPr>
    </w:tblStylePr>
  </w:style>
  <w:style w:type="table" w:styleId="ColorfulGrid-Accent3">
    <w:name w:val="Colorful Grid Accent 3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2F1" w:themeFill="accent3" w:themeFillTint="33"/>
    </w:tcPr>
    <w:tblStylePr w:type="firstRow">
      <w:rPr>
        <w:b/>
        <w:bCs/>
      </w:rPr>
      <w:tblPr/>
      <w:tcPr>
        <w:shd w:val="clear" w:color="auto" w:fill="EBE6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E6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28F8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28F84" w:themeFill="accent3" w:themeFillShade="BF"/>
      </w:tcPr>
    </w:tblStylePr>
    <w:tblStylePr w:type="band1Vert">
      <w:tblPr/>
      <w:tcPr>
        <w:shd w:val="clear" w:color="auto" w:fill="E6E0DE" w:themeFill="accent3" w:themeFillTint="7F"/>
      </w:tcPr>
    </w:tblStylePr>
    <w:tblStylePr w:type="band1Horz">
      <w:tblPr/>
      <w:tcPr>
        <w:shd w:val="clear" w:color="auto" w:fill="E6E0DE" w:themeFill="accent3" w:themeFillTint="7F"/>
      </w:tcPr>
    </w:tblStylePr>
  </w:style>
  <w:style w:type="table" w:styleId="ColorfulGrid-Accent4">
    <w:name w:val="Colorful Grid Accent 4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3E1" w:themeFill="accent4" w:themeFillTint="33"/>
    </w:tcPr>
    <w:tblStylePr w:type="firstRow">
      <w:rPr>
        <w:b/>
        <w:bCs/>
      </w:rPr>
      <w:tblPr/>
      <w:tcPr>
        <w:shd w:val="clear" w:color="auto" w:fill="E1C8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8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E544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E5449" w:themeFill="accent4" w:themeFillShade="BF"/>
      </w:tcPr>
    </w:tblStylePr>
    <w:tblStylePr w:type="band1Vert">
      <w:tblPr/>
      <w:tcPr>
        <w:shd w:val="clear" w:color="auto" w:fill="D9BBB5" w:themeFill="accent4" w:themeFillTint="7F"/>
      </w:tcPr>
    </w:tblStylePr>
    <w:tblStylePr w:type="band1Horz">
      <w:tblPr/>
      <w:tcPr>
        <w:shd w:val="clear" w:color="auto" w:fill="D9BBB5" w:themeFill="accent4" w:themeFillTint="7F"/>
      </w:tcPr>
    </w:tblStylePr>
  </w:style>
  <w:style w:type="table" w:styleId="ColorfulGrid-Accent5">
    <w:name w:val="Colorful Grid Accent 5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E8ED" w:themeFill="accent5" w:themeFillTint="33"/>
    </w:tcPr>
    <w:tblStylePr w:type="firstRow">
      <w:rPr>
        <w:b/>
        <w:bCs/>
      </w:rPr>
      <w:tblPr/>
      <w:tcPr>
        <w:shd w:val="clear" w:color="auto" w:fill="C4D2D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D2D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E6C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E6C80" w:themeFill="accent5" w:themeFillShade="BF"/>
      </w:tcPr>
    </w:tblStylePr>
    <w:tblStylePr w:type="band1Vert">
      <w:tblPr/>
      <w:tcPr>
        <w:shd w:val="clear" w:color="auto" w:fill="B6C7D2" w:themeFill="accent5" w:themeFillTint="7F"/>
      </w:tcPr>
    </w:tblStylePr>
    <w:tblStylePr w:type="band1Horz">
      <w:tblPr/>
      <w:tcPr>
        <w:shd w:val="clear" w:color="auto" w:fill="B6C7D2" w:themeFill="accent5" w:themeFillTint="7F"/>
      </w:tcPr>
    </w:tblStylePr>
  </w:style>
  <w:style w:type="table" w:styleId="ColorfulGrid-Accent6">
    <w:name w:val="Colorful Grid Accent 6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F0ED" w:themeFill="accent6" w:themeFillTint="33"/>
    </w:tcPr>
    <w:tblStylePr w:type="firstRow">
      <w:rPr>
        <w:b/>
        <w:bCs/>
      </w:rPr>
      <w:tblPr/>
      <w:tcPr>
        <w:shd w:val="clear" w:color="auto" w:fill="DEE1D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E1D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F8D7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F8D78" w:themeFill="accent6" w:themeFillShade="BF"/>
      </w:tcPr>
    </w:tblStylePr>
    <w:tblStylePr w:type="band1Vert">
      <w:tblPr/>
      <w:tcPr>
        <w:shd w:val="clear" w:color="auto" w:fill="D5DAD3" w:themeFill="accent6" w:themeFillTint="7F"/>
      </w:tcPr>
    </w:tblStylePr>
    <w:tblStylePr w:type="band1Horz">
      <w:tblPr/>
      <w:tcPr>
        <w:shd w:val="clear" w:color="auto" w:fill="D5DAD3" w:themeFill="accent6" w:themeFillTint="7F"/>
      </w:tcPr>
    </w:tblStylePr>
  </w:style>
  <w:style w:type="table" w:styleId="ColorfulList">
    <w:name w:val="Colorful List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114" w:themeFill="accent2" w:themeFillShade="CC"/>
      </w:tcPr>
    </w:tblStylePr>
    <w:tblStylePr w:type="lastRow">
      <w:rPr>
        <w:b/>
        <w:bCs/>
        <w:color w:val="B7711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7F0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114" w:themeFill="accent2" w:themeFillShade="CC"/>
      </w:tcPr>
    </w:tblStylePr>
    <w:tblStylePr w:type="lastRow">
      <w:rPr>
        <w:b/>
        <w:bCs/>
        <w:color w:val="B7711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  <w:tblStylePr w:type="band1Horz">
      <w:tblPr/>
      <w:tcPr>
        <w:shd w:val="clear" w:color="auto" w:fill="AEE2FF" w:themeFill="accent1" w:themeFillTint="33"/>
      </w:tcPr>
    </w:tblStylePr>
  </w:style>
  <w:style w:type="table" w:styleId="ColorfulList-Accent2">
    <w:name w:val="Colorful List Accent 2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114" w:themeFill="accent2" w:themeFillShade="CC"/>
      </w:tcPr>
    </w:tblStylePr>
    <w:tblStylePr w:type="lastRow">
      <w:rPr>
        <w:b/>
        <w:bCs/>
        <w:color w:val="B7711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  <w:tblStylePr w:type="band1Horz">
      <w:tblPr/>
      <w:tcPr>
        <w:shd w:val="clear" w:color="auto" w:fill="F9E8D1" w:themeFill="accent2" w:themeFillTint="33"/>
      </w:tcPr>
    </w:tblStylePr>
  </w:style>
  <w:style w:type="table" w:styleId="ColorfulList-Accent3">
    <w:name w:val="Colorful List Accent 3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8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85A4D" w:themeFill="accent4" w:themeFillShade="CC"/>
      </w:tcPr>
    </w:tblStylePr>
    <w:tblStylePr w:type="lastRow">
      <w:rPr>
        <w:b/>
        <w:bCs/>
        <w:color w:val="985A4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  <w:tblStylePr w:type="band1Horz">
      <w:tblPr/>
      <w:tcPr>
        <w:shd w:val="clear" w:color="auto" w:fill="F5F2F1" w:themeFill="accent3" w:themeFillTint="33"/>
      </w:tcPr>
    </w:tblStylePr>
  </w:style>
  <w:style w:type="table" w:styleId="ColorfulList-Accent4">
    <w:name w:val="Colorful List Accent 4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1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B9A90" w:themeFill="accent3" w:themeFillShade="CC"/>
      </w:tcPr>
    </w:tblStylePr>
    <w:tblStylePr w:type="lastRow">
      <w:rPr>
        <w:b/>
        <w:bCs/>
        <w:color w:val="AB9A9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  <w:tblStylePr w:type="band1Horz">
      <w:tblPr/>
      <w:tcPr>
        <w:shd w:val="clear" w:color="auto" w:fill="F0E3E1" w:themeFill="accent4" w:themeFillTint="33"/>
      </w:tcPr>
    </w:tblStylePr>
  </w:style>
  <w:style w:type="table" w:styleId="ColorfulList-Accent5">
    <w:name w:val="Colorful List Accent 5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4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682" w:themeFill="accent6" w:themeFillShade="CC"/>
      </w:tcPr>
    </w:tblStylePr>
    <w:tblStylePr w:type="lastRow">
      <w:rPr>
        <w:b/>
        <w:bCs/>
        <w:color w:val="89968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  <w:tblStylePr w:type="band1Horz">
      <w:tblPr/>
      <w:tcPr>
        <w:shd w:val="clear" w:color="auto" w:fill="E1E8ED" w:themeFill="accent5" w:themeFillTint="33"/>
      </w:tcPr>
    </w:tblStylePr>
  </w:style>
  <w:style w:type="table" w:styleId="ColorfulList-Accent6">
    <w:name w:val="Colorful List Accent 6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7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7388" w:themeFill="accent5" w:themeFillShade="CC"/>
      </w:tcPr>
    </w:tblStylePr>
    <w:tblStylePr w:type="lastRow">
      <w:rPr>
        <w:b/>
        <w:bCs/>
        <w:color w:val="54738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  <w:tblStylePr w:type="band1Horz">
      <w:tblPr/>
      <w:tcPr>
        <w:shd w:val="clear" w:color="auto" w:fill="EEF0ED" w:themeFill="accent6" w:themeFillTint="33"/>
      </w:tcPr>
    </w:tblStylePr>
  </w:style>
  <w:style w:type="table" w:styleId="ColorfulShading">
    <w:name w:val="Colorful Shading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58E1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58E1A" w:themeColor="accent2"/>
        <w:left w:val="single" w:sz="4" w:space="0" w:color="00456B" w:themeColor="accent1"/>
        <w:bottom w:val="single" w:sz="4" w:space="0" w:color="00456B" w:themeColor="accent1"/>
        <w:right w:val="single" w:sz="4" w:space="0" w:color="00456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F0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94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940" w:themeColor="accent1" w:themeShade="99"/>
          <w:insideV w:val="nil"/>
        </w:tcBorders>
        <w:shd w:val="clear" w:color="auto" w:fill="00294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940" w:themeFill="accent1" w:themeFillShade="99"/>
      </w:tcPr>
    </w:tblStylePr>
    <w:tblStylePr w:type="band1Vert">
      <w:tblPr/>
      <w:tcPr>
        <w:shd w:val="clear" w:color="auto" w:fill="5DC5FF" w:themeFill="accent1" w:themeFillTint="66"/>
      </w:tcPr>
    </w:tblStylePr>
    <w:tblStylePr w:type="band1Horz">
      <w:tblPr/>
      <w:tcPr>
        <w:shd w:val="clear" w:color="auto" w:fill="36B7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58E1A" w:themeColor="accent2"/>
        <w:left w:val="single" w:sz="4" w:space="0" w:color="E58E1A" w:themeColor="accent2"/>
        <w:bottom w:val="single" w:sz="4" w:space="0" w:color="E58E1A" w:themeColor="accent2"/>
        <w:right w:val="single" w:sz="4" w:space="0" w:color="E58E1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40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40F" w:themeColor="accent2" w:themeShade="99"/>
          <w:insideV w:val="nil"/>
        </w:tcBorders>
        <w:shd w:val="clear" w:color="auto" w:fill="89540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40F" w:themeFill="accent2" w:themeFillShade="99"/>
      </w:tcPr>
    </w:tblStylePr>
    <w:tblStylePr w:type="band1Vert">
      <w:tblPr/>
      <w:tcPr>
        <w:shd w:val="clear" w:color="auto" w:fill="F4D1A3" w:themeFill="accent2" w:themeFillTint="66"/>
      </w:tcPr>
    </w:tblStylePr>
    <w:tblStylePr w:type="band1Horz">
      <w:tblPr/>
      <w:tcPr>
        <w:shd w:val="clear" w:color="auto" w:fill="F2C68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4786C" w:themeColor="accent4"/>
        <w:left w:val="single" w:sz="4" w:space="0" w:color="CDC3BD" w:themeColor="accent3"/>
        <w:bottom w:val="single" w:sz="4" w:space="0" w:color="CDC3BD" w:themeColor="accent3"/>
        <w:right w:val="single" w:sz="4" w:space="0" w:color="CDC3B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8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786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6726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67266" w:themeColor="accent3" w:themeShade="99"/>
          <w:insideV w:val="nil"/>
        </w:tcBorders>
        <w:shd w:val="clear" w:color="auto" w:fill="86726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7266" w:themeFill="accent3" w:themeFillShade="99"/>
      </w:tcPr>
    </w:tblStylePr>
    <w:tblStylePr w:type="band1Vert">
      <w:tblPr/>
      <w:tcPr>
        <w:shd w:val="clear" w:color="auto" w:fill="EBE6E4" w:themeFill="accent3" w:themeFillTint="66"/>
      </w:tcPr>
    </w:tblStylePr>
    <w:tblStylePr w:type="band1Horz">
      <w:tblPr/>
      <w:tcPr>
        <w:shd w:val="clear" w:color="auto" w:fill="E6E0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DC3BD" w:themeColor="accent3"/>
        <w:left w:val="single" w:sz="4" w:space="0" w:color="B4786C" w:themeColor="accent4"/>
        <w:bottom w:val="single" w:sz="4" w:space="0" w:color="B4786C" w:themeColor="accent4"/>
        <w:right w:val="single" w:sz="4" w:space="0" w:color="B4786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1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DC3B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2433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2433A" w:themeColor="accent4" w:themeShade="99"/>
          <w:insideV w:val="nil"/>
        </w:tcBorders>
        <w:shd w:val="clear" w:color="auto" w:fill="72433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433A" w:themeFill="accent4" w:themeFillShade="99"/>
      </w:tcPr>
    </w:tblStylePr>
    <w:tblStylePr w:type="band1Vert">
      <w:tblPr/>
      <w:tcPr>
        <w:shd w:val="clear" w:color="auto" w:fill="E1C8C4" w:themeFill="accent4" w:themeFillTint="66"/>
      </w:tcPr>
    </w:tblStylePr>
    <w:tblStylePr w:type="band1Horz">
      <w:tblPr/>
      <w:tcPr>
        <w:shd w:val="clear" w:color="auto" w:fill="D9BBB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DB6A8" w:themeColor="accent6"/>
        <w:left w:val="single" w:sz="4" w:space="0" w:color="6E90A6" w:themeColor="accent5"/>
        <w:bottom w:val="single" w:sz="4" w:space="0" w:color="6E90A6" w:themeColor="accent5"/>
        <w:right w:val="single" w:sz="4" w:space="0" w:color="6E90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4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DB6A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566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5666" w:themeColor="accent5" w:themeShade="99"/>
          <w:insideV w:val="nil"/>
        </w:tcBorders>
        <w:shd w:val="clear" w:color="auto" w:fill="3F566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5666" w:themeFill="accent5" w:themeFillShade="99"/>
      </w:tcPr>
    </w:tblStylePr>
    <w:tblStylePr w:type="band1Vert">
      <w:tblPr/>
      <w:tcPr>
        <w:shd w:val="clear" w:color="auto" w:fill="C4D2DB" w:themeFill="accent5" w:themeFillTint="66"/>
      </w:tcPr>
    </w:tblStylePr>
    <w:tblStylePr w:type="band1Horz">
      <w:tblPr/>
      <w:tcPr>
        <w:shd w:val="clear" w:color="auto" w:fill="B6C7D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E90A6" w:themeColor="accent5"/>
        <w:left w:val="single" w:sz="4" w:space="0" w:color="ADB6A8" w:themeColor="accent6"/>
        <w:bottom w:val="single" w:sz="4" w:space="0" w:color="ADB6A8" w:themeColor="accent6"/>
        <w:right w:val="single" w:sz="4" w:space="0" w:color="ADB6A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E90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726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7260" w:themeColor="accent6" w:themeShade="99"/>
          <w:insideV w:val="nil"/>
        </w:tcBorders>
        <w:shd w:val="clear" w:color="auto" w:fill="66726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7260" w:themeFill="accent6" w:themeFillShade="99"/>
      </w:tcPr>
    </w:tblStylePr>
    <w:tblStylePr w:type="band1Vert">
      <w:tblPr/>
      <w:tcPr>
        <w:shd w:val="clear" w:color="auto" w:fill="DEE1DC" w:themeFill="accent6" w:themeFillTint="66"/>
      </w:tcPr>
    </w:tblStylePr>
    <w:tblStylePr w:type="band1Horz">
      <w:tblPr/>
      <w:tcPr>
        <w:shd w:val="clear" w:color="auto" w:fill="D5DAD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locked/>
    <w:rsid w:val="00F80750"/>
    <w:rPr>
      <w:noProof w:val="0"/>
      <w:sz w:val="16"/>
      <w:szCs w:val="16"/>
      <w:lang w:val="en-AU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F807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0750"/>
    <w:rPr>
      <w:noProof w:val="0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F807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0750"/>
    <w:rPr>
      <w:b/>
      <w:bCs/>
      <w:noProof w:val="0"/>
      <w:sz w:val="20"/>
      <w:szCs w:val="20"/>
      <w:lang w:val="en-AU"/>
    </w:rPr>
  </w:style>
  <w:style w:type="table" w:styleId="DarkList">
    <w:name w:val="Dark List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456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23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35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35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35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350" w:themeFill="accent1" w:themeFillShade="BF"/>
      </w:tcPr>
    </w:tblStylePr>
  </w:style>
  <w:style w:type="table" w:styleId="DarkList-Accent2">
    <w:name w:val="Dark List Accent 2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58E1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60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691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691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691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6913" w:themeFill="accent2" w:themeFillShade="BF"/>
      </w:tcPr>
    </w:tblStylePr>
  </w:style>
  <w:style w:type="table" w:styleId="DarkList-Accent3">
    <w:name w:val="Dark List Accent 3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DC3B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F5E54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28F8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28F8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8F8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8F84" w:themeFill="accent3" w:themeFillShade="BF"/>
      </w:tcPr>
    </w:tblStylePr>
  </w:style>
  <w:style w:type="table" w:styleId="DarkList-Accent4">
    <w:name w:val="Dark List Accent 4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4786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38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544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544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544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5449" w:themeFill="accent4" w:themeFillShade="BF"/>
      </w:tcPr>
    </w:tblStylePr>
  </w:style>
  <w:style w:type="table" w:styleId="DarkList-Accent5">
    <w:name w:val="Dark List Accent 5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E90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48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6C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6C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C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C80" w:themeFill="accent5" w:themeFillShade="BF"/>
      </w:tcPr>
    </w:tblStylePr>
  </w:style>
  <w:style w:type="table" w:styleId="DarkList-Accent6">
    <w:name w:val="Dark List Accent 6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DB6A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45E4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F8D7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F8D7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D7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D78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locked/>
    <w:rsid w:val="00F80750"/>
  </w:style>
  <w:style w:type="character" w:customStyle="1" w:styleId="DateChar">
    <w:name w:val="Date Char"/>
    <w:basedOn w:val="DefaultParagraphFont"/>
    <w:link w:val="Date"/>
    <w:uiPriority w:val="99"/>
    <w:semiHidden/>
    <w:rsid w:val="00F80750"/>
    <w:rPr>
      <w:noProof w:val="0"/>
      <w:lang w:val="en-AU"/>
    </w:rPr>
  </w:style>
  <w:style w:type="paragraph" w:styleId="DocumentMap">
    <w:name w:val="Document Map"/>
    <w:basedOn w:val="Normal"/>
    <w:link w:val="DocumentMapChar"/>
    <w:uiPriority w:val="99"/>
    <w:semiHidden/>
    <w:unhideWhenUsed/>
    <w:locked/>
    <w:rsid w:val="00F8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80750"/>
    <w:rPr>
      <w:rFonts w:ascii="Tahoma" w:hAnsi="Tahoma" w:cs="Tahoma"/>
      <w:noProof w:val="0"/>
      <w:sz w:val="16"/>
      <w:szCs w:val="16"/>
      <w:lang w:val="en-AU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locked/>
    <w:rsid w:val="00F8075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80750"/>
    <w:rPr>
      <w:noProof w:val="0"/>
      <w:lang w:val="en-AU"/>
    </w:rPr>
  </w:style>
  <w:style w:type="character" w:styleId="Emphasis">
    <w:name w:val="Emphasis"/>
    <w:basedOn w:val="DefaultParagraphFont"/>
    <w:uiPriority w:val="20"/>
    <w:semiHidden/>
    <w:qFormat/>
    <w:locked/>
    <w:rsid w:val="00F80750"/>
    <w:rPr>
      <w:i/>
      <w:iCs/>
      <w:noProof w:val="0"/>
      <w:lang w:val="en-AU"/>
    </w:rPr>
  </w:style>
  <w:style w:type="character" w:styleId="EndnoteReference">
    <w:name w:val="endnote reference"/>
    <w:basedOn w:val="DefaultParagraphFont"/>
    <w:uiPriority w:val="99"/>
    <w:rsid w:val="00F80750"/>
    <w:rPr>
      <w:noProof w:val="0"/>
      <w:vertAlign w:val="superscript"/>
      <w:lang w:val="en-AU"/>
    </w:rPr>
  </w:style>
  <w:style w:type="paragraph" w:styleId="EndnoteText">
    <w:name w:val="endnote text"/>
    <w:basedOn w:val="Normal"/>
    <w:link w:val="EndnoteTextChar"/>
    <w:uiPriority w:val="99"/>
    <w:rsid w:val="00F8075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F80750"/>
    <w:rPr>
      <w:noProof w:val="0"/>
      <w:sz w:val="20"/>
      <w:szCs w:val="20"/>
      <w:lang w:val="en-AU"/>
    </w:rPr>
  </w:style>
  <w:style w:type="paragraph" w:styleId="EnvelopeAddress">
    <w:name w:val="envelope address"/>
    <w:basedOn w:val="Normal"/>
    <w:uiPriority w:val="99"/>
    <w:semiHidden/>
    <w:unhideWhenUsed/>
    <w:locked/>
    <w:rsid w:val="00F8075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rsid w:val="00F80750"/>
    <w:rPr>
      <w:noProof w:val="0"/>
      <w:color w:val="00456B" w:themeColor="followedHyperlink"/>
      <w:u w:val="single"/>
      <w:lang w:val="en-AU"/>
    </w:rPr>
  </w:style>
  <w:style w:type="character" w:styleId="FootnoteReference">
    <w:name w:val="footnote reference"/>
    <w:basedOn w:val="DefaultParagraphFont"/>
    <w:uiPriority w:val="99"/>
    <w:rsid w:val="00F80750"/>
    <w:rPr>
      <w:noProof w:val="0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rsid w:val="00F807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80750"/>
    <w:rPr>
      <w:noProof w:val="0"/>
      <w:sz w:val="20"/>
      <w:szCs w:val="20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rsid w:val="00B41D8E"/>
    <w:rPr>
      <w:rFonts w:asciiTheme="majorHAnsi" w:eastAsiaTheme="majorEastAsia" w:hAnsiTheme="majorHAnsi" w:cstheme="majorBidi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74D"/>
    <w:rPr>
      <w:rFonts w:asciiTheme="majorHAnsi" w:eastAsiaTheme="majorEastAsia" w:hAnsiTheme="majorHAnsi" w:cstheme="majorBidi"/>
      <w:i/>
      <w:iCs/>
      <w:color w:val="002235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7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74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74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HTMLAcronym">
    <w:name w:val="HTML Acronym"/>
    <w:basedOn w:val="DefaultParagraphFont"/>
    <w:uiPriority w:val="99"/>
    <w:semiHidden/>
    <w:unhideWhenUsed/>
    <w:locked/>
    <w:rsid w:val="00F80750"/>
    <w:rPr>
      <w:noProof w:val="0"/>
      <w:lang w:val="en-AU"/>
    </w:rPr>
  </w:style>
  <w:style w:type="paragraph" w:styleId="HTMLAddress">
    <w:name w:val="HTML Address"/>
    <w:basedOn w:val="Normal"/>
    <w:link w:val="HTMLAddressChar"/>
    <w:uiPriority w:val="99"/>
    <w:semiHidden/>
    <w:unhideWhenUsed/>
    <w:locked/>
    <w:rsid w:val="00F8075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80750"/>
    <w:rPr>
      <w:i/>
      <w:iCs/>
      <w:noProof w:val="0"/>
      <w:lang w:val="en-AU"/>
    </w:rPr>
  </w:style>
  <w:style w:type="character" w:styleId="HTMLCite">
    <w:name w:val="HTML Cite"/>
    <w:basedOn w:val="DefaultParagraphFont"/>
    <w:uiPriority w:val="99"/>
    <w:semiHidden/>
    <w:unhideWhenUsed/>
    <w:locked/>
    <w:rsid w:val="00F80750"/>
    <w:rPr>
      <w:i/>
      <w:iCs/>
      <w:noProof w:val="0"/>
      <w:lang w:val="en-AU"/>
    </w:rPr>
  </w:style>
  <w:style w:type="character" w:styleId="HTMLCode">
    <w:name w:val="HTML Code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Definition">
    <w:name w:val="HTML Definition"/>
    <w:basedOn w:val="DefaultParagraphFont"/>
    <w:uiPriority w:val="99"/>
    <w:semiHidden/>
    <w:unhideWhenUsed/>
    <w:locked/>
    <w:rsid w:val="00F80750"/>
    <w:rPr>
      <w:i/>
      <w:iCs/>
      <w:noProof w:val="0"/>
      <w:lang w:val="en-AU"/>
    </w:rPr>
  </w:style>
  <w:style w:type="character" w:styleId="HTMLKeyboard">
    <w:name w:val="HTML Keyboard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0"/>
      <w:szCs w:val="20"/>
      <w:lang w:val="en-AU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locked/>
    <w:rsid w:val="00F8075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Sample">
    <w:name w:val="HTML Sample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4"/>
      <w:szCs w:val="24"/>
      <w:lang w:val="en-AU"/>
    </w:rPr>
  </w:style>
  <w:style w:type="character" w:styleId="HTMLTypewriter">
    <w:name w:val="HTML Typewriter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Variable">
    <w:name w:val="HTML Variable"/>
    <w:basedOn w:val="DefaultParagraphFont"/>
    <w:uiPriority w:val="99"/>
    <w:semiHidden/>
    <w:unhideWhenUsed/>
    <w:locked/>
    <w:rsid w:val="00F80750"/>
    <w:rPr>
      <w:i/>
      <w:iCs/>
      <w:noProof w:val="0"/>
      <w:lang w:val="en-AU"/>
    </w:rPr>
  </w:style>
  <w:style w:type="paragraph" w:styleId="Index1">
    <w:name w:val="index 1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90" w:hanging="190"/>
    </w:pPr>
  </w:style>
  <w:style w:type="paragraph" w:styleId="Index2">
    <w:name w:val="index 2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380" w:hanging="190"/>
    </w:pPr>
  </w:style>
  <w:style w:type="paragraph" w:styleId="Index3">
    <w:name w:val="index 3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570" w:hanging="190"/>
    </w:pPr>
  </w:style>
  <w:style w:type="paragraph" w:styleId="Index4">
    <w:name w:val="index 4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760" w:hanging="190"/>
    </w:pPr>
  </w:style>
  <w:style w:type="paragraph" w:styleId="Index5">
    <w:name w:val="index 5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950" w:hanging="190"/>
    </w:pPr>
  </w:style>
  <w:style w:type="paragraph" w:styleId="Index6">
    <w:name w:val="index 6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140" w:hanging="190"/>
    </w:pPr>
  </w:style>
  <w:style w:type="paragraph" w:styleId="Index7">
    <w:name w:val="index 7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330" w:hanging="190"/>
    </w:pPr>
  </w:style>
  <w:style w:type="paragraph" w:styleId="Index8">
    <w:name w:val="index 8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520" w:hanging="190"/>
    </w:pPr>
  </w:style>
  <w:style w:type="paragraph" w:styleId="Index9">
    <w:name w:val="index 9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710" w:hanging="190"/>
    </w:pPr>
  </w:style>
  <w:style w:type="paragraph" w:styleId="IndexHeading">
    <w:name w:val="index heading"/>
    <w:basedOn w:val="Normal"/>
    <w:next w:val="Index1"/>
    <w:uiPriority w:val="99"/>
    <w:semiHidden/>
    <w:unhideWhenUsed/>
    <w:locked/>
    <w:rsid w:val="00F80750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locked/>
    <w:rsid w:val="00F80750"/>
    <w:rPr>
      <w:b/>
      <w:bCs/>
      <w:i/>
      <w:iCs/>
      <w:noProof w:val="0"/>
      <w:color w:val="00456B" w:themeColor="accent1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locked/>
    <w:rsid w:val="00F80750"/>
    <w:pPr>
      <w:pBdr>
        <w:bottom w:val="single" w:sz="4" w:space="4" w:color="00456B" w:themeColor="accent1"/>
      </w:pBdr>
      <w:spacing w:before="200" w:after="280"/>
      <w:ind w:left="936" w:right="936"/>
    </w:pPr>
    <w:rPr>
      <w:b/>
      <w:bCs/>
      <w:i/>
      <w:iCs/>
      <w:color w:val="00456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80750"/>
    <w:rPr>
      <w:b/>
      <w:bCs/>
      <w:i/>
      <w:iCs/>
      <w:noProof w:val="0"/>
      <w:color w:val="00456B" w:themeColor="accent1"/>
      <w:lang w:val="en-AU"/>
    </w:rPr>
  </w:style>
  <w:style w:type="character" w:styleId="IntenseReference">
    <w:name w:val="Intense Reference"/>
    <w:basedOn w:val="DefaultParagraphFont"/>
    <w:uiPriority w:val="32"/>
    <w:semiHidden/>
    <w:qFormat/>
    <w:locked/>
    <w:rsid w:val="00F80750"/>
    <w:rPr>
      <w:b/>
      <w:bCs/>
      <w:smallCaps/>
      <w:noProof w:val="0"/>
      <w:color w:val="E58E1A" w:themeColor="accent2"/>
      <w:spacing w:val="5"/>
      <w:u w:val="single"/>
      <w:lang w:val="en-AU"/>
    </w:rPr>
  </w:style>
  <w:style w:type="table" w:styleId="LightGrid">
    <w:name w:val="Light Grid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  <w:insideH w:val="single" w:sz="8" w:space="0" w:color="00456B" w:themeColor="accent1"/>
        <w:insideV w:val="single" w:sz="8" w:space="0" w:color="00456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18" w:space="0" w:color="00456B" w:themeColor="accent1"/>
          <w:right w:val="single" w:sz="8" w:space="0" w:color="00456B" w:themeColor="accent1"/>
          <w:insideH w:val="nil"/>
          <w:insideV w:val="single" w:sz="8" w:space="0" w:color="00456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  <w:insideH w:val="nil"/>
          <w:insideV w:val="single" w:sz="8" w:space="0" w:color="00456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  <w:tblStylePr w:type="band1Vert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  <w:shd w:val="clear" w:color="auto" w:fill="9BDBFF" w:themeFill="accent1" w:themeFillTint="3F"/>
      </w:tcPr>
    </w:tblStylePr>
    <w:tblStylePr w:type="band1Horz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  <w:insideV w:val="single" w:sz="8" w:space="0" w:color="00456B" w:themeColor="accent1"/>
        </w:tcBorders>
        <w:shd w:val="clear" w:color="auto" w:fill="9BDBFF" w:themeFill="accent1" w:themeFillTint="3F"/>
      </w:tcPr>
    </w:tblStylePr>
    <w:tblStylePr w:type="band2Horz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  <w:insideV w:val="single" w:sz="8" w:space="0" w:color="00456B" w:themeColor="accent1"/>
        </w:tcBorders>
      </w:tcPr>
    </w:tblStylePr>
  </w:style>
  <w:style w:type="table" w:styleId="LightGrid-Accent2">
    <w:name w:val="Light Grid Accent 2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  <w:insideH w:val="single" w:sz="8" w:space="0" w:color="E58E1A" w:themeColor="accent2"/>
        <w:insideV w:val="single" w:sz="8" w:space="0" w:color="E58E1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18" w:space="0" w:color="E58E1A" w:themeColor="accent2"/>
          <w:right w:val="single" w:sz="8" w:space="0" w:color="E58E1A" w:themeColor="accent2"/>
          <w:insideH w:val="nil"/>
          <w:insideV w:val="single" w:sz="8" w:space="0" w:color="E58E1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  <w:insideH w:val="nil"/>
          <w:insideV w:val="single" w:sz="8" w:space="0" w:color="E58E1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  <w:tblStylePr w:type="band1Vert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  <w:shd w:val="clear" w:color="auto" w:fill="F8E2C6" w:themeFill="accent2" w:themeFillTint="3F"/>
      </w:tcPr>
    </w:tblStylePr>
    <w:tblStylePr w:type="band1Horz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  <w:insideV w:val="single" w:sz="8" w:space="0" w:color="E58E1A" w:themeColor="accent2"/>
        </w:tcBorders>
        <w:shd w:val="clear" w:color="auto" w:fill="F8E2C6" w:themeFill="accent2" w:themeFillTint="3F"/>
      </w:tcPr>
    </w:tblStylePr>
    <w:tblStylePr w:type="band2Horz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  <w:insideV w:val="single" w:sz="8" w:space="0" w:color="E58E1A" w:themeColor="accent2"/>
        </w:tcBorders>
      </w:tcPr>
    </w:tblStylePr>
  </w:style>
  <w:style w:type="table" w:styleId="LightGrid-Accent3">
    <w:name w:val="Light Grid Accent 3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  <w:insideH w:val="single" w:sz="8" w:space="0" w:color="CDC3BD" w:themeColor="accent3"/>
        <w:insideV w:val="single" w:sz="8" w:space="0" w:color="CDC3B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18" w:space="0" w:color="CDC3BD" w:themeColor="accent3"/>
          <w:right w:val="single" w:sz="8" w:space="0" w:color="CDC3BD" w:themeColor="accent3"/>
          <w:insideH w:val="nil"/>
          <w:insideV w:val="single" w:sz="8" w:space="0" w:color="CDC3B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  <w:insideH w:val="nil"/>
          <w:insideV w:val="single" w:sz="8" w:space="0" w:color="CDC3B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  <w:tblStylePr w:type="band1Vert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  <w:shd w:val="clear" w:color="auto" w:fill="F2F0EE" w:themeFill="accent3" w:themeFillTint="3F"/>
      </w:tcPr>
    </w:tblStylePr>
    <w:tblStylePr w:type="band1Horz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  <w:insideV w:val="single" w:sz="8" w:space="0" w:color="CDC3BD" w:themeColor="accent3"/>
        </w:tcBorders>
        <w:shd w:val="clear" w:color="auto" w:fill="F2F0EE" w:themeFill="accent3" w:themeFillTint="3F"/>
      </w:tcPr>
    </w:tblStylePr>
    <w:tblStylePr w:type="band2Horz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  <w:insideV w:val="single" w:sz="8" w:space="0" w:color="CDC3BD" w:themeColor="accent3"/>
        </w:tcBorders>
      </w:tcPr>
    </w:tblStylePr>
  </w:style>
  <w:style w:type="table" w:styleId="LightGrid-Accent4">
    <w:name w:val="Light Grid Accent 4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  <w:insideH w:val="single" w:sz="8" w:space="0" w:color="B4786C" w:themeColor="accent4"/>
        <w:insideV w:val="single" w:sz="8" w:space="0" w:color="B4786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18" w:space="0" w:color="B4786C" w:themeColor="accent4"/>
          <w:right w:val="single" w:sz="8" w:space="0" w:color="B4786C" w:themeColor="accent4"/>
          <w:insideH w:val="nil"/>
          <w:insideV w:val="single" w:sz="8" w:space="0" w:color="B4786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  <w:insideH w:val="nil"/>
          <w:insideV w:val="single" w:sz="8" w:space="0" w:color="B4786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  <w:tblStylePr w:type="band1Vert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  <w:shd w:val="clear" w:color="auto" w:fill="ECDDDA" w:themeFill="accent4" w:themeFillTint="3F"/>
      </w:tcPr>
    </w:tblStylePr>
    <w:tblStylePr w:type="band1Horz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  <w:insideV w:val="single" w:sz="8" w:space="0" w:color="B4786C" w:themeColor="accent4"/>
        </w:tcBorders>
        <w:shd w:val="clear" w:color="auto" w:fill="ECDDDA" w:themeFill="accent4" w:themeFillTint="3F"/>
      </w:tcPr>
    </w:tblStylePr>
    <w:tblStylePr w:type="band2Horz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  <w:insideV w:val="single" w:sz="8" w:space="0" w:color="B4786C" w:themeColor="accent4"/>
        </w:tcBorders>
      </w:tcPr>
    </w:tblStylePr>
  </w:style>
  <w:style w:type="table" w:styleId="LightGrid-Accent5">
    <w:name w:val="Light Grid Accent 5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  <w:insideH w:val="single" w:sz="8" w:space="0" w:color="6E90A6" w:themeColor="accent5"/>
        <w:insideV w:val="single" w:sz="8" w:space="0" w:color="6E90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18" w:space="0" w:color="6E90A6" w:themeColor="accent5"/>
          <w:right w:val="single" w:sz="8" w:space="0" w:color="6E90A6" w:themeColor="accent5"/>
          <w:insideH w:val="nil"/>
          <w:insideV w:val="single" w:sz="8" w:space="0" w:color="6E90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  <w:insideH w:val="nil"/>
          <w:insideV w:val="single" w:sz="8" w:space="0" w:color="6E90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  <w:tblStylePr w:type="band1Vert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  <w:shd w:val="clear" w:color="auto" w:fill="DBE3E9" w:themeFill="accent5" w:themeFillTint="3F"/>
      </w:tcPr>
    </w:tblStylePr>
    <w:tblStylePr w:type="band1Horz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  <w:insideV w:val="single" w:sz="8" w:space="0" w:color="6E90A6" w:themeColor="accent5"/>
        </w:tcBorders>
        <w:shd w:val="clear" w:color="auto" w:fill="DBE3E9" w:themeFill="accent5" w:themeFillTint="3F"/>
      </w:tcPr>
    </w:tblStylePr>
    <w:tblStylePr w:type="band2Horz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  <w:insideV w:val="single" w:sz="8" w:space="0" w:color="6E90A6" w:themeColor="accent5"/>
        </w:tcBorders>
      </w:tcPr>
    </w:tblStylePr>
  </w:style>
  <w:style w:type="table" w:styleId="LightGrid-Accent6">
    <w:name w:val="Light Grid Accent 6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  <w:insideH w:val="single" w:sz="8" w:space="0" w:color="ADB6A8" w:themeColor="accent6"/>
        <w:insideV w:val="single" w:sz="8" w:space="0" w:color="ADB6A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18" w:space="0" w:color="ADB6A8" w:themeColor="accent6"/>
          <w:right w:val="single" w:sz="8" w:space="0" w:color="ADB6A8" w:themeColor="accent6"/>
          <w:insideH w:val="nil"/>
          <w:insideV w:val="single" w:sz="8" w:space="0" w:color="ADB6A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  <w:insideH w:val="nil"/>
          <w:insideV w:val="single" w:sz="8" w:space="0" w:color="ADB6A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  <w:tblStylePr w:type="band1Vert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  <w:shd w:val="clear" w:color="auto" w:fill="EAEDE9" w:themeFill="accent6" w:themeFillTint="3F"/>
      </w:tcPr>
    </w:tblStylePr>
    <w:tblStylePr w:type="band1Horz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  <w:insideV w:val="single" w:sz="8" w:space="0" w:color="ADB6A8" w:themeColor="accent6"/>
        </w:tcBorders>
        <w:shd w:val="clear" w:color="auto" w:fill="EAEDE9" w:themeFill="accent6" w:themeFillTint="3F"/>
      </w:tcPr>
    </w:tblStylePr>
    <w:tblStylePr w:type="band2Horz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  <w:insideV w:val="single" w:sz="8" w:space="0" w:color="ADB6A8" w:themeColor="accent6"/>
        </w:tcBorders>
      </w:tcPr>
    </w:tblStylePr>
  </w:style>
  <w:style w:type="table" w:styleId="LightList">
    <w:name w:val="Light List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56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  <w:tblStylePr w:type="band1Horz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</w:style>
  <w:style w:type="table" w:styleId="LightList-Accent2">
    <w:name w:val="Light List Accent 2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58E1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  <w:tblStylePr w:type="band1Horz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</w:style>
  <w:style w:type="table" w:styleId="LightList-Accent3">
    <w:name w:val="Light List Accent 3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DC3B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  <w:tblStylePr w:type="band1Horz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</w:style>
  <w:style w:type="table" w:styleId="LightList-Accent4">
    <w:name w:val="Light List Accent 4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786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  <w:tblStylePr w:type="band1Horz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</w:style>
  <w:style w:type="table" w:styleId="LightList-Accent5">
    <w:name w:val="Light List Accent 5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E90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  <w:tblStylePr w:type="band1Horz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</w:style>
  <w:style w:type="table" w:styleId="LightList-Accent6">
    <w:name w:val="Light List Accent 6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B6A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  <w:tblStylePr w:type="band1Horz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</w:style>
  <w:style w:type="table" w:styleId="LightShading">
    <w:name w:val="Light Shading"/>
    <w:basedOn w:val="TableNormal"/>
    <w:uiPriority w:val="60"/>
    <w:locked/>
    <w:rsid w:val="00F8075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F80750"/>
    <w:pPr>
      <w:spacing w:after="0" w:line="240" w:lineRule="auto"/>
    </w:pPr>
    <w:rPr>
      <w:color w:val="003350" w:themeColor="accent1" w:themeShade="BF"/>
    </w:rPr>
    <w:tblPr>
      <w:tblStyleRowBandSize w:val="1"/>
      <w:tblStyleColBandSize w:val="1"/>
      <w:tblBorders>
        <w:top w:val="single" w:sz="8" w:space="0" w:color="00456B" w:themeColor="accent1"/>
        <w:bottom w:val="single" w:sz="8" w:space="0" w:color="00456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56B" w:themeColor="accent1"/>
          <w:left w:val="nil"/>
          <w:bottom w:val="single" w:sz="8" w:space="0" w:color="00456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56B" w:themeColor="accent1"/>
          <w:left w:val="nil"/>
          <w:bottom w:val="single" w:sz="8" w:space="0" w:color="00456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</w:style>
  <w:style w:type="table" w:styleId="LightShading-Accent2">
    <w:name w:val="Light Shading Accent 2"/>
    <w:basedOn w:val="TableNormal"/>
    <w:uiPriority w:val="60"/>
    <w:locked/>
    <w:rsid w:val="00F80750"/>
    <w:pPr>
      <w:spacing w:after="0" w:line="240" w:lineRule="auto"/>
    </w:pPr>
    <w:rPr>
      <w:color w:val="AB6913" w:themeColor="accent2" w:themeShade="BF"/>
    </w:rPr>
    <w:tblPr>
      <w:tblStyleRowBandSize w:val="1"/>
      <w:tblStyleColBandSize w:val="1"/>
      <w:tblBorders>
        <w:top w:val="single" w:sz="8" w:space="0" w:color="E58E1A" w:themeColor="accent2"/>
        <w:bottom w:val="single" w:sz="8" w:space="0" w:color="E58E1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8E1A" w:themeColor="accent2"/>
          <w:left w:val="nil"/>
          <w:bottom w:val="single" w:sz="8" w:space="0" w:color="E58E1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8E1A" w:themeColor="accent2"/>
          <w:left w:val="nil"/>
          <w:bottom w:val="single" w:sz="8" w:space="0" w:color="E58E1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</w:style>
  <w:style w:type="table" w:styleId="LightShading-Accent3">
    <w:name w:val="Light Shading Accent 3"/>
    <w:basedOn w:val="TableNormal"/>
    <w:uiPriority w:val="60"/>
    <w:locked/>
    <w:rsid w:val="00F80750"/>
    <w:pPr>
      <w:spacing w:after="0" w:line="240" w:lineRule="auto"/>
    </w:pPr>
    <w:rPr>
      <w:color w:val="A28F84" w:themeColor="accent3" w:themeShade="BF"/>
    </w:rPr>
    <w:tblPr>
      <w:tblStyleRowBandSize w:val="1"/>
      <w:tblStyleColBandSize w:val="1"/>
      <w:tblBorders>
        <w:top w:val="single" w:sz="8" w:space="0" w:color="CDC3BD" w:themeColor="accent3"/>
        <w:bottom w:val="single" w:sz="8" w:space="0" w:color="CDC3B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DC3BD" w:themeColor="accent3"/>
          <w:left w:val="nil"/>
          <w:bottom w:val="single" w:sz="8" w:space="0" w:color="CDC3B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DC3BD" w:themeColor="accent3"/>
          <w:left w:val="nil"/>
          <w:bottom w:val="single" w:sz="8" w:space="0" w:color="CDC3B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</w:style>
  <w:style w:type="table" w:styleId="LightShading-Accent4">
    <w:name w:val="Light Shading Accent 4"/>
    <w:basedOn w:val="TableNormal"/>
    <w:uiPriority w:val="60"/>
    <w:locked/>
    <w:rsid w:val="00F80750"/>
    <w:pPr>
      <w:spacing w:after="0" w:line="240" w:lineRule="auto"/>
    </w:pPr>
    <w:rPr>
      <w:color w:val="8E5449" w:themeColor="accent4" w:themeShade="BF"/>
    </w:rPr>
    <w:tblPr>
      <w:tblStyleRowBandSize w:val="1"/>
      <w:tblStyleColBandSize w:val="1"/>
      <w:tblBorders>
        <w:top w:val="single" w:sz="8" w:space="0" w:color="B4786C" w:themeColor="accent4"/>
        <w:bottom w:val="single" w:sz="8" w:space="0" w:color="B4786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786C" w:themeColor="accent4"/>
          <w:left w:val="nil"/>
          <w:bottom w:val="single" w:sz="8" w:space="0" w:color="B4786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786C" w:themeColor="accent4"/>
          <w:left w:val="nil"/>
          <w:bottom w:val="single" w:sz="8" w:space="0" w:color="B4786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</w:style>
  <w:style w:type="table" w:styleId="LightShading-Accent5">
    <w:name w:val="Light Shading Accent 5"/>
    <w:basedOn w:val="TableNormal"/>
    <w:uiPriority w:val="60"/>
    <w:locked/>
    <w:rsid w:val="00F80750"/>
    <w:pPr>
      <w:spacing w:after="0" w:line="240" w:lineRule="auto"/>
    </w:pPr>
    <w:rPr>
      <w:color w:val="4E6C80" w:themeColor="accent5" w:themeShade="BF"/>
    </w:rPr>
    <w:tblPr>
      <w:tblStyleRowBandSize w:val="1"/>
      <w:tblStyleColBandSize w:val="1"/>
      <w:tblBorders>
        <w:top w:val="single" w:sz="8" w:space="0" w:color="6E90A6" w:themeColor="accent5"/>
        <w:bottom w:val="single" w:sz="8" w:space="0" w:color="6E90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90A6" w:themeColor="accent5"/>
          <w:left w:val="nil"/>
          <w:bottom w:val="single" w:sz="8" w:space="0" w:color="6E90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90A6" w:themeColor="accent5"/>
          <w:left w:val="nil"/>
          <w:bottom w:val="single" w:sz="8" w:space="0" w:color="6E90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</w:style>
  <w:style w:type="table" w:styleId="LightShading-Accent6">
    <w:name w:val="Light Shading Accent 6"/>
    <w:basedOn w:val="TableNormal"/>
    <w:uiPriority w:val="60"/>
    <w:locked/>
    <w:rsid w:val="00F80750"/>
    <w:pPr>
      <w:spacing w:after="0" w:line="240" w:lineRule="auto"/>
    </w:pPr>
    <w:rPr>
      <w:color w:val="7F8D78" w:themeColor="accent6" w:themeShade="BF"/>
    </w:rPr>
    <w:tblPr>
      <w:tblStyleRowBandSize w:val="1"/>
      <w:tblStyleColBandSize w:val="1"/>
      <w:tblBorders>
        <w:top w:val="single" w:sz="8" w:space="0" w:color="ADB6A8" w:themeColor="accent6"/>
        <w:bottom w:val="single" w:sz="8" w:space="0" w:color="ADB6A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B6A8" w:themeColor="accent6"/>
          <w:left w:val="nil"/>
          <w:bottom w:val="single" w:sz="8" w:space="0" w:color="ADB6A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B6A8" w:themeColor="accent6"/>
          <w:left w:val="nil"/>
          <w:bottom w:val="single" w:sz="8" w:space="0" w:color="ADB6A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locked/>
    <w:rsid w:val="00F80750"/>
    <w:rPr>
      <w:noProof w:val="0"/>
      <w:lang w:val="en-AU"/>
    </w:rPr>
  </w:style>
  <w:style w:type="paragraph" w:styleId="List">
    <w:name w:val="List"/>
    <w:basedOn w:val="Normal"/>
    <w:uiPriority w:val="99"/>
    <w:semiHidden/>
    <w:unhideWhenUsed/>
    <w:locked/>
    <w:rsid w:val="00F80750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locked/>
    <w:rsid w:val="00F80750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locked/>
    <w:rsid w:val="00F80750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locked/>
    <w:rsid w:val="00F80750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locked/>
    <w:rsid w:val="00F80750"/>
    <w:pPr>
      <w:ind w:left="1415" w:hanging="283"/>
      <w:contextualSpacing/>
    </w:pPr>
  </w:style>
  <w:style w:type="paragraph" w:styleId="ListBullet5">
    <w:name w:val="List Bullet 5"/>
    <w:basedOn w:val="Normal"/>
    <w:uiPriority w:val="99"/>
    <w:semiHidden/>
    <w:locked/>
    <w:rsid w:val="00F80750"/>
    <w:pPr>
      <w:numPr>
        <w:numId w:val="21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locked/>
    <w:rsid w:val="00F80750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locked/>
    <w:rsid w:val="00F80750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locked/>
    <w:rsid w:val="00F80750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locked/>
    <w:rsid w:val="00F80750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locked/>
    <w:rsid w:val="00F80750"/>
    <w:pPr>
      <w:ind w:left="1415"/>
      <w:contextualSpacing/>
    </w:pPr>
  </w:style>
  <w:style w:type="paragraph" w:styleId="ListNumber5">
    <w:name w:val="List Number 5"/>
    <w:basedOn w:val="Normal"/>
    <w:uiPriority w:val="99"/>
    <w:semiHidden/>
    <w:locked/>
    <w:rsid w:val="00F80750"/>
    <w:pPr>
      <w:numPr>
        <w:numId w:val="22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F80750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locked/>
    <w:rsid w:val="00F8075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80750"/>
    <w:rPr>
      <w:rFonts w:ascii="Consolas" w:hAnsi="Consolas"/>
      <w:noProof w:val="0"/>
      <w:sz w:val="20"/>
      <w:szCs w:val="20"/>
      <w:lang w:val="en-AU"/>
    </w:rPr>
  </w:style>
  <w:style w:type="table" w:styleId="MediumGrid1">
    <w:name w:val="Medium Grid 1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85D0" w:themeColor="accent1" w:themeTint="BF"/>
        <w:left w:val="single" w:sz="8" w:space="0" w:color="0085D0" w:themeColor="accent1" w:themeTint="BF"/>
        <w:bottom w:val="single" w:sz="8" w:space="0" w:color="0085D0" w:themeColor="accent1" w:themeTint="BF"/>
        <w:right w:val="single" w:sz="8" w:space="0" w:color="0085D0" w:themeColor="accent1" w:themeTint="BF"/>
        <w:insideH w:val="single" w:sz="8" w:space="0" w:color="0085D0" w:themeColor="accent1" w:themeTint="BF"/>
        <w:insideV w:val="single" w:sz="8" w:space="0" w:color="0085D0" w:themeColor="accent1" w:themeTint="BF"/>
      </w:tblBorders>
    </w:tblPr>
    <w:tcPr>
      <w:shd w:val="clear" w:color="auto" w:fill="9BDB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85D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6B7FF" w:themeFill="accent1" w:themeFillTint="7F"/>
      </w:tcPr>
    </w:tblStylePr>
    <w:tblStylePr w:type="band1Horz">
      <w:tblPr/>
      <w:tcPr>
        <w:shd w:val="clear" w:color="auto" w:fill="36B7FF" w:themeFill="accent1" w:themeFillTint="7F"/>
      </w:tcPr>
    </w:tblStylePr>
  </w:style>
  <w:style w:type="table" w:styleId="MediumGrid1-Accent2">
    <w:name w:val="Medium Grid 1 Accent 2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BA953" w:themeColor="accent2" w:themeTint="BF"/>
        <w:left w:val="single" w:sz="8" w:space="0" w:color="EBA953" w:themeColor="accent2" w:themeTint="BF"/>
        <w:bottom w:val="single" w:sz="8" w:space="0" w:color="EBA953" w:themeColor="accent2" w:themeTint="BF"/>
        <w:right w:val="single" w:sz="8" w:space="0" w:color="EBA953" w:themeColor="accent2" w:themeTint="BF"/>
        <w:insideH w:val="single" w:sz="8" w:space="0" w:color="EBA953" w:themeColor="accent2" w:themeTint="BF"/>
        <w:insideV w:val="single" w:sz="8" w:space="0" w:color="EBA953" w:themeColor="accent2" w:themeTint="BF"/>
      </w:tblBorders>
    </w:tblPr>
    <w:tcPr>
      <w:shd w:val="clear" w:color="auto" w:fill="F8E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A95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68C" w:themeFill="accent2" w:themeFillTint="7F"/>
      </w:tcPr>
    </w:tblStylePr>
    <w:tblStylePr w:type="band1Horz">
      <w:tblPr/>
      <w:tcPr>
        <w:shd w:val="clear" w:color="auto" w:fill="F2C68C" w:themeFill="accent2" w:themeFillTint="7F"/>
      </w:tcPr>
    </w:tblStylePr>
  </w:style>
  <w:style w:type="table" w:styleId="MediumGrid1-Accent3">
    <w:name w:val="Medium Grid 1 Accent 3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D9D1CD" w:themeColor="accent3" w:themeTint="BF"/>
        <w:left w:val="single" w:sz="8" w:space="0" w:color="D9D1CD" w:themeColor="accent3" w:themeTint="BF"/>
        <w:bottom w:val="single" w:sz="8" w:space="0" w:color="D9D1CD" w:themeColor="accent3" w:themeTint="BF"/>
        <w:right w:val="single" w:sz="8" w:space="0" w:color="D9D1CD" w:themeColor="accent3" w:themeTint="BF"/>
        <w:insideH w:val="single" w:sz="8" w:space="0" w:color="D9D1CD" w:themeColor="accent3" w:themeTint="BF"/>
        <w:insideV w:val="single" w:sz="8" w:space="0" w:color="D9D1CD" w:themeColor="accent3" w:themeTint="BF"/>
      </w:tblBorders>
    </w:tblPr>
    <w:tcPr>
      <w:shd w:val="clear" w:color="auto" w:fill="F2F0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9D1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DE" w:themeFill="accent3" w:themeFillTint="7F"/>
      </w:tcPr>
    </w:tblStylePr>
    <w:tblStylePr w:type="band1Horz">
      <w:tblPr/>
      <w:tcPr>
        <w:shd w:val="clear" w:color="auto" w:fill="E6E0DE" w:themeFill="accent3" w:themeFillTint="7F"/>
      </w:tcPr>
    </w:tblStylePr>
  </w:style>
  <w:style w:type="table" w:styleId="MediumGrid1-Accent4">
    <w:name w:val="Medium Grid 1 Accent 4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69990" w:themeColor="accent4" w:themeTint="BF"/>
        <w:left w:val="single" w:sz="8" w:space="0" w:color="C69990" w:themeColor="accent4" w:themeTint="BF"/>
        <w:bottom w:val="single" w:sz="8" w:space="0" w:color="C69990" w:themeColor="accent4" w:themeTint="BF"/>
        <w:right w:val="single" w:sz="8" w:space="0" w:color="C69990" w:themeColor="accent4" w:themeTint="BF"/>
        <w:insideH w:val="single" w:sz="8" w:space="0" w:color="C69990" w:themeColor="accent4" w:themeTint="BF"/>
        <w:insideV w:val="single" w:sz="8" w:space="0" w:color="C69990" w:themeColor="accent4" w:themeTint="BF"/>
      </w:tblBorders>
    </w:tblPr>
    <w:tcPr>
      <w:shd w:val="clear" w:color="auto" w:fill="ECDD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999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BB5" w:themeFill="accent4" w:themeFillTint="7F"/>
      </w:tcPr>
    </w:tblStylePr>
    <w:tblStylePr w:type="band1Horz">
      <w:tblPr/>
      <w:tcPr>
        <w:shd w:val="clear" w:color="auto" w:fill="D9BBB5" w:themeFill="accent4" w:themeFillTint="7F"/>
      </w:tcPr>
    </w:tblStylePr>
  </w:style>
  <w:style w:type="table" w:styleId="MediumGrid1-Accent5">
    <w:name w:val="Medium Grid 1 Accent 5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92ABBC" w:themeColor="accent5" w:themeTint="BF"/>
        <w:left w:val="single" w:sz="8" w:space="0" w:color="92ABBC" w:themeColor="accent5" w:themeTint="BF"/>
        <w:bottom w:val="single" w:sz="8" w:space="0" w:color="92ABBC" w:themeColor="accent5" w:themeTint="BF"/>
        <w:right w:val="single" w:sz="8" w:space="0" w:color="92ABBC" w:themeColor="accent5" w:themeTint="BF"/>
        <w:insideH w:val="single" w:sz="8" w:space="0" w:color="92ABBC" w:themeColor="accent5" w:themeTint="BF"/>
        <w:insideV w:val="single" w:sz="8" w:space="0" w:color="92ABBC" w:themeColor="accent5" w:themeTint="BF"/>
      </w:tblBorders>
    </w:tblPr>
    <w:tcPr>
      <w:shd w:val="clear" w:color="auto" w:fill="DBE3E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ABB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C7D2" w:themeFill="accent5" w:themeFillTint="7F"/>
      </w:tcPr>
    </w:tblStylePr>
    <w:tblStylePr w:type="band1Horz">
      <w:tblPr/>
      <w:tcPr>
        <w:shd w:val="clear" w:color="auto" w:fill="B6C7D2" w:themeFill="accent5" w:themeFillTint="7F"/>
      </w:tcPr>
    </w:tblStylePr>
  </w:style>
  <w:style w:type="table" w:styleId="MediumGrid1-Accent6">
    <w:name w:val="Medium Grid 1 Accent 6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1C8BD" w:themeColor="accent6" w:themeTint="BF"/>
        <w:left w:val="single" w:sz="8" w:space="0" w:color="C1C8BD" w:themeColor="accent6" w:themeTint="BF"/>
        <w:bottom w:val="single" w:sz="8" w:space="0" w:color="C1C8BD" w:themeColor="accent6" w:themeTint="BF"/>
        <w:right w:val="single" w:sz="8" w:space="0" w:color="C1C8BD" w:themeColor="accent6" w:themeTint="BF"/>
        <w:insideH w:val="single" w:sz="8" w:space="0" w:color="C1C8BD" w:themeColor="accent6" w:themeTint="BF"/>
        <w:insideV w:val="single" w:sz="8" w:space="0" w:color="C1C8BD" w:themeColor="accent6" w:themeTint="BF"/>
      </w:tblBorders>
    </w:tblPr>
    <w:tcPr>
      <w:shd w:val="clear" w:color="auto" w:fill="EAED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C8B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AD3" w:themeFill="accent6" w:themeFillTint="7F"/>
      </w:tcPr>
    </w:tblStylePr>
    <w:tblStylePr w:type="band1Horz">
      <w:tblPr/>
      <w:tcPr>
        <w:shd w:val="clear" w:color="auto" w:fill="D5DAD3" w:themeFill="accent6" w:themeFillTint="7F"/>
      </w:tcPr>
    </w:tblStylePr>
  </w:style>
  <w:style w:type="table" w:styleId="MediumGrid2">
    <w:name w:val="Medium Grid 2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  <w:insideH w:val="single" w:sz="8" w:space="0" w:color="00456B" w:themeColor="accent1"/>
        <w:insideV w:val="single" w:sz="8" w:space="0" w:color="00456B" w:themeColor="accent1"/>
      </w:tblBorders>
    </w:tblPr>
    <w:tcPr>
      <w:shd w:val="clear" w:color="auto" w:fill="9BDB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7F0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E2FF" w:themeFill="accent1" w:themeFillTint="33"/>
      </w:tcPr>
    </w:tblStylePr>
    <w:tblStylePr w:type="band1Vert">
      <w:tblPr/>
      <w:tcPr>
        <w:shd w:val="clear" w:color="auto" w:fill="36B7FF" w:themeFill="accent1" w:themeFillTint="7F"/>
      </w:tcPr>
    </w:tblStylePr>
    <w:tblStylePr w:type="band1Horz">
      <w:tblPr/>
      <w:tcPr>
        <w:tcBorders>
          <w:insideH w:val="single" w:sz="6" w:space="0" w:color="00456B" w:themeColor="accent1"/>
          <w:insideV w:val="single" w:sz="6" w:space="0" w:color="00456B" w:themeColor="accent1"/>
        </w:tcBorders>
        <w:shd w:val="clear" w:color="auto" w:fill="36B7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  <w:insideH w:val="single" w:sz="8" w:space="0" w:color="E58E1A" w:themeColor="accent2"/>
        <w:insideV w:val="single" w:sz="8" w:space="0" w:color="E58E1A" w:themeColor="accent2"/>
      </w:tblBorders>
    </w:tblPr>
    <w:tcPr>
      <w:shd w:val="clear" w:color="auto" w:fill="F8E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8D1" w:themeFill="accent2" w:themeFillTint="33"/>
      </w:tcPr>
    </w:tblStylePr>
    <w:tblStylePr w:type="band1Vert">
      <w:tblPr/>
      <w:tcPr>
        <w:shd w:val="clear" w:color="auto" w:fill="F2C68C" w:themeFill="accent2" w:themeFillTint="7F"/>
      </w:tcPr>
    </w:tblStylePr>
    <w:tblStylePr w:type="band1Horz">
      <w:tblPr/>
      <w:tcPr>
        <w:tcBorders>
          <w:insideH w:val="single" w:sz="6" w:space="0" w:color="E58E1A" w:themeColor="accent2"/>
          <w:insideV w:val="single" w:sz="6" w:space="0" w:color="E58E1A" w:themeColor="accent2"/>
        </w:tcBorders>
        <w:shd w:val="clear" w:color="auto" w:fill="F2C68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  <w:insideH w:val="single" w:sz="8" w:space="0" w:color="CDC3BD" w:themeColor="accent3"/>
        <w:insideV w:val="single" w:sz="8" w:space="0" w:color="CDC3BD" w:themeColor="accent3"/>
      </w:tblBorders>
    </w:tblPr>
    <w:tcPr>
      <w:shd w:val="clear" w:color="auto" w:fill="F2F0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8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2F1" w:themeFill="accent3" w:themeFillTint="33"/>
      </w:tcPr>
    </w:tblStylePr>
    <w:tblStylePr w:type="band1Vert">
      <w:tblPr/>
      <w:tcPr>
        <w:shd w:val="clear" w:color="auto" w:fill="E6E0DE" w:themeFill="accent3" w:themeFillTint="7F"/>
      </w:tcPr>
    </w:tblStylePr>
    <w:tblStylePr w:type="band1Horz">
      <w:tblPr/>
      <w:tcPr>
        <w:tcBorders>
          <w:insideH w:val="single" w:sz="6" w:space="0" w:color="CDC3BD" w:themeColor="accent3"/>
          <w:insideV w:val="single" w:sz="6" w:space="0" w:color="CDC3BD" w:themeColor="accent3"/>
        </w:tcBorders>
        <w:shd w:val="clear" w:color="auto" w:fill="E6E0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  <w:insideH w:val="single" w:sz="8" w:space="0" w:color="B4786C" w:themeColor="accent4"/>
        <w:insideV w:val="single" w:sz="8" w:space="0" w:color="B4786C" w:themeColor="accent4"/>
      </w:tblBorders>
    </w:tblPr>
    <w:tcPr>
      <w:shd w:val="clear" w:color="auto" w:fill="ECDD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1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3E1" w:themeFill="accent4" w:themeFillTint="33"/>
      </w:tcPr>
    </w:tblStylePr>
    <w:tblStylePr w:type="band1Vert">
      <w:tblPr/>
      <w:tcPr>
        <w:shd w:val="clear" w:color="auto" w:fill="D9BBB5" w:themeFill="accent4" w:themeFillTint="7F"/>
      </w:tcPr>
    </w:tblStylePr>
    <w:tblStylePr w:type="band1Horz">
      <w:tblPr/>
      <w:tcPr>
        <w:tcBorders>
          <w:insideH w:val="single" w:sz="6" w:space="0" w:color="B4786C" w:themeColor="accent4"/>
          <w:insideV w:val="single" w:sz="6" w:space="0" w:color="B4786C" w:themeColor="accent4"/>
        </w:tcBorders>
        <w:shd w:val="clear" w:color="auto" w:fill="D9BBB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  <w:insideH w:val="single" w:sz="8" w:space="0" w:color="6E90A6" w:themeColor="accent5"/>
        <w:insideV w:val="single" w:sz="8" w:space="0" w:color="6E90A6" w:themeColor="accent5"/>
      </w:tblBorders>
    </w:tblPr>
    <w:tcPr>
      <w:shd w:val="clear" w:color="auto" w:fill="DBE3E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0F4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8ED" w:themeFill="accent5" w:themeFillTint="33"/>
      </w:tcPr>
    </w:tblStylePr>
    <w:tblStylePr w:type="band1Vert">
      <w:tblPr/>
      <w:tcPr>
        <w:shd w:val="clear" w:color="auto" w:fill="B6C7D2" w:themeFill="accent5" w:themeFillTint="7F"/>
      </w:tcPr>
    </w:tblStylePr>
    <w:tblStylePr w:type="band1Horz">
      <w:tblPr/>
      <w:tcPr>
        <w:tcBorders>
          <w:insideH w:val="single" w:sz="6" w:space="0" w:color="6E90A6" w:themeColor="accent5"/>
          <w:insideV w:val="single" w:sz="6" w:space="0" w:color="6E90A6" w:themeColor="accent5"/>
        </w:tcBorders>
        <w:shd w:val="clear" w:color="auto" w:fill="B6C7D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  <w:insideH w:val="single" w:sz="8" w:space="0" w:color="ADB6A8" w:themeColor="accent6"/>
        <w:insideV w:val="single" w:sz="8" w:space="0" w:color="ADB6A8" w:themeColor="accent6"/>
      </w:tblBorders>
    </w:tblPr>
    <w:tcPr>
      <w:shd w:val="clear" w:color="auto" w:fill="EAED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6F7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0ED" w:themeFill="accent6" w:themeFillTint="33"/>
      </w:tcPr>
    </w:tblStylePr>
    <w:tblStylePr w:type="band1Vert">
      <w:tblPr/>
      <w:tcPr>
        <w:shd w:val="clear" w:color="auto" w:fill="D5DAD3" w:themeFill="accent6" w:themeFillTint="7F"/>
      </w:tcPr>
    </w:tblStylePr>
    <w:tblStylePr w:type="band1Horz">
      <w:tblPr/>
      <w:tcPr>
        <w:tcBorders>
          <w:insideH w:val="single" w:sz="6" w:space="0" w:color="ADB6A8" w:themeColor="accent6"/>
          <w:insideV w:val="single" w:sz="6" w:space="0" w:color="ADB6A8" w:themeColor="accent6"/>
        </w:tcBorders>
        <w:shd w:val="clear" w:color="auto" w:fill="D5DAD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BDB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56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56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56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56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6B7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6B7FF" w:themeFill="accent1" w:themeFillTint="7F"/>
      </w:tcPr>
    </w:tblStylePr>
  </w:style>
  <w:style w:type="table" w:styleId="MediumGrid3-Accent2">
    <w:name w:val="Medium Grid 3 Accent 2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E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8E1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8E1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58E1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58E1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C68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C68C" w:themeFill="accent2" w:themeFillTint="7F"/>
      </w:tcPr>
    </w:tblStylePr>
  </w:style>
  <w:style w:type="table" w:styleId="MediumGrid3-Accent3">
    <w:name w:val="Medium Grid 3 Accent 3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F0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DC3B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DC3B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DC3B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DC3B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6E0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6E0DE" w:themeFill="accent3" w:themeFillTint="7F"/>
      </w:tcPr>
    </w:tblStylePr>
  </w:style>
  <w:style w:type="table" w:styleId="MediumGrid3-Accent4">
    <w:name w:val="Medium Grid 3 Accent 4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D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786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786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786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786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BB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BB5" w:themeFill="accent4" w:themeFillTint="7F"/>
      </w:tcPr>
    </w:tblStylePr>
  </w:style>
  <w:style w:type="table" w:styleId="MediumGrid3-Accent5">
    <w:name w:val="Medium Grid 3 Accent 5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3E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90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90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E90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E90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C7D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C7D2" w:themeFill="accent5" w:themeFillTint="7F"/>
      </w:tcPr>
    </w:tblStylePr>
  </w:style>
  <w:style w:type="table" w:styleId="MediumGrid3-Accent6">
    <w:name w:val="Medium Grid 3 Accent 6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D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B6A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B6A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B6A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B6A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DAD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DAD3" w:themeFill="accent6" w:themeFillTint="7F"/>
      </w:tcPr>
    </w:tblStylePr>
  </w:style>
  <w:style w:type="table" w:styleId="MediumList1">
    <w:name w:val="Medium List 1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456B" w:themeColor="accent1"/>
        <w:bottom w:val="single" w:sz="8" w:space="0" w:color="00456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56B" w:themeColor="accent1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00456B" w:themeColor="accent1"/>
          <w:bottom w:val="single" w:sz="8" w:space="0" w:color="00456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56B" w:themeColor="accent1"/>
          <w:bottom w:val="single" w:sz="8" w:space="0" w:color="00456B" w:themeColor="accent1"/>
        </w:tcBorders>
      </w:tcPr>
    </w:tblStylePr>
    <w:tblStylePr w:type="band1Vert">
      <w:tblPr/>
      <w:tcPr>
        <w:shd w:val="clear" w:color="auto" w:fill="9BDBFF" w:themeFill="accent1" w:themeFillTint="3F"/>
      </w:tcPr>
    </w:tblStylePr>
    <w:tblStylePr w:type="band1Horz">
      <w:tblPr/>
      <w:tcPr>
        <w:shd w:val="clear" w:color="auto" w:fill="9BDBFF" w:themeFill="accent1" w:themeFillTint="3F"/>
      </w:tcPr>
    </w:tblStylePr>
  </w:style>
  <w:style w:type="table" w:styleId="MediumList1-Accent2">
    <w:name w:val="Medium List 1 Accent 2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58E1A" w:themeColor="accent2"/>
        <w:bottom w:val="single" w:sz="8" w:space="0" w:color="E58E1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58E1A" w:themeColor="accent2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E58E1A" w:themeColor="accent2"/>
          <w:bottom w:val="single" w:sz="8" w:space="0" w:color="E58E1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58E1A" w:themeColor="accent2"/>
          <w:bottom w:val="single" w:sz="8" w:space="0" w:color="E58E1A" w:themeColor="accent2"/>
        </w:tcBorders>
      </w:tcPr>
    </w:tblStylePr>
    <w:tblStylePr w:type="band1Vert">
      <w:tblPr/>
      <w:tcPr>
        <w:shd w:val="clear" w:color="auto" w:fill="F8E2C6" w:themeFill="accent2" w:themeFillTint="3F"/>
      </w:tcPr>
    </w:tblStylePr>
    <w:tblStylePr w:type="band1Horz">
      <w:tblPr/>
      <w:tcPr>
        <w:shd w:val="clear" w:color="auto" w:fill="F8E2C6" w:themeFill="accent2" w:themeFillTint="3F"/>
      </w:tcPr>
    </w:tblStylePr>
  </w:style>
  <w:style w:type="table" w:styleId="MediumList1-Accent3">
    <w:name w:val="Medium List 1 Accent 3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DC3BD" w:themeColor="accent3"/>
        <w:bottom w:val="single" w:sz="8" w:space="0" w:color="CDC3B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DC3BD" w:themeColor="accent3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CDC3BD" w:themeColor="accent3"/>
          <w:bottom w:val="single" w:sz="8" w:space="0" w:color="CDC3B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DC3BD" w:themeColor="accent3"/>
          <w:bottom w:val="single" w:sz="8" w:space="0" w:color="CDC3BD" w:themeColor="accent3"/>
        </w:tcBorders>
      </w:tcPr>
    </w:tblStylePr>
    <w:tblStylePr w:type="band1Vert">
      <w:tblPr/>
      <w:tcPr>
        <w:shd w:val="clear" w:color="auto" w:fill="F2F0EE" w:themeFill="accent3" w:themeFillTint="3F"/>
      </w:tcPr>
    </w:tblStylePr>
    <w:tblStylePr w:type="band1Horz">
      <w:tblPr/>
      <w:tcPr>
        <w:shd w:val="clear" w:color="auto" w:fill="F2F0EE" w:themeFill="accent3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4786C" w:themeColor="accent4"/>
        <w:bottom w:val="single" w:sz="8" w:space="0" w:color="B4786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786C" w:themeColor="accent4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B4786C" w:themeColor="accent4"/>
          <w:bottom w:val="single" w:sz="8" w:space="0" w:color="B4786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786C" w:themeColor="accent4"/>
          <w:bottom w:val="single" w:sz="8" w:space="0" w:color="B4786C" w:themeColor="accent4"/>
        </w:tcBorders>
      </w:tcPr>
    </w:tblStylePr>
    <w:tblStylePr w:type="band1Vert">
      <w:tblPr/>
      <w:tcPr>
        <w:shd w:val="clear" w:color="auto" w:fill="ECDDDA" w:themeFill="accent4" w:themeFillTint="3F"/>
      </w:tcPr>
    </w:tblStylePr>
    <w:tblStylePr w:type="band1Horz">
      <w:tblPr/>
      <w:tcPr>
        <w:shd w:val="clear" w:color="auto" w:fill="ECDDDA" w:themeFill="accent4" w:themeFillTint="3F"/>
      </w:tcPr>
    </w:tblStylePr>
  </w:style>
  <w:style w:type="table" w:styleId="MediumList1-Accent5">
    <w:name w:val="Medium List 1 Accent 5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E90A6" w:themeColor="accent5"/>
        <w:bottom w:val="single" w:sz="8" w:space="0" w:color="6E90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E90A6" w:themeColor="accent5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6E90A6" w:themeColor="accent5"/>
          <w:bottom w:val="single" w:sz="8" w:space="0" w:color="6E90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E90A6" w:themeColor="accent5"/>
          <w:bottom w:val="single" w:sz="8" w:space="0" w:color="6E90A6" w:themeColor="accent5"/>
        </w:tcBorders>
      </w:tcPr>
    </w:tblStylePr>
    <w:tblStylePr w:type="band1Vert">
      <w:tblPr/>
      <w:tcPr>
        <w:shd w:val="clear" w:color="auto" w:fill="DBE3E9" w:themeFill="accent5" w:themeFillTint="3F"/>
      </w:tcPr>
    </w:tblStylePr>
    <w:tblStylePr w:type="band1Horz">
      <w:tblPr/>
      <w:tcPr>
        <w:shd w:val="clear" w:color="auto" w:fill="DBE3E9" w:themeFill="accent5" w:themeFillTint="3F"/>
      </w:tcPr>
    </w:tblStylePr>
  </w:style>
  <w:style w:type="table" w:styleId="MediumList1-Accent6">
    <w:name w:val="Medium List 1 Accent 6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DB6A8" w:themeColor="accent6"/>
        <w:bottom w:val="single" w:sz="8" w:space="0" w:color="ADB6A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B6A8" w:themeColor="accent6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ADB6A8" w:themeColor="accent6"/>
          <w:bottom w:val="single" w:sz="8" w:space="0" w:color="ADB6A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B6A8" w:themeColor="accent6"/>
          <w:bottom w:val="single" w:sz="8" w:space="0" w:color="ADB6A8" w:themeColor="accent6"/>
        </w:tcBorders>
      </w:tcPr>
    </w:tblStylePr>
    <w:tblStylePr w:type="band1Vert">
      <w:tblPr/>
      <w:tcPr>
        <w:shd w:val="clear" w:color="auto" w:fill="EAEDE9" w:themeFill="accent6" w:themeFillTint="3F"/>
      </w:tcPr>
    </w:tblStylePr>
    <w:tblStylePr w:type="band1Horz">
      <w:tblPr/>
      <w:tcPr>
        <w:shd w:val="clear" w:color="auto" w:fill="EAEDE9" w:themeFill="accent6" w:themeFillTint="3F"/>
      </w:tcPr>
    </w:tblStylePr>
  </w:style>
  <w:style w:type="table" w:styleId="MediumList2">
    <w:name w:val="Medium List 2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56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56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56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56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BDB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58E1A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58E1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58E1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E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DC3B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DC3BD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DC3B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DC3B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F0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4786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4786C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786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786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D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E90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E90A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E90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E90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3E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B6A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DB6A8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B6A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B6A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D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85D0" w:themeColor="accent1" w:themeTint="BF"/>
        <w:left w:val="single" w:sz="8" w:space="0" w:color="0085D0" w:themeColor="accent1" w:themeTint="BF"/>
        <w:bottom w:val="single" w:sz="8" w:space="0" w:color="0085D0" w:themeColor="accent1" w:themeTint="BF"/>
        <w:right w:val="single" w:sz="8" w:space="0" w:color="0085D0" w:themeColor="accent1" w:themeTint="BF"/>
        <w:insideH w:val="single" w:sz="8" w:space="0" w:color="0085D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85D0" w:themeColor="accent1" w:themeTint="BF"/>
          <w:left w:val="single" w:sz="8" w:space="0" w:color="0085D0" w:themeColor="accent1" w:themeTint="BF"/>
          <w:bottom w:val="single" w:sz="8" w:space="0" w:color="0085D0" w:themeColor="accent1" w:themeTint="BF"/>
          <w:right w:val="single" w:sz="8" w:space="0" w:color="0085D0" w:themeColor="accent1" w:themeTint="BF"/>
          <w:insideH w:val="nil"/>
          <w:insideV w:val="nil"/>
        </w:tcBorders>
        <w:shd w:val="clear" w:color="auto" w:fill="00456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5D0" w:themeColor="accent1" w:themeTint="BF"/>
          <w:left w:val="single" w:sz="8" w:space="0" w:color="0085D0" w:themeColor="accent1" w:themeTint="BF"/>
          <w:bottom w:val="single" w:sz="8" w:space="0" w:color="0085D0" w:themeColor="accent1" w:themeTint="BF"/>
          <w:right w:val="single" w:sz="8" w:space="0" w:color="0085D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BDB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BDB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BA953" w:themeColor="accent2" w:themeTint="BF"/>
        <w:left w:val="single" w:sz="8" w:space="0" w:color="EBA953" w:themeColor="accent2" w:themeTint="BF"/>
        <w:bottom w:val="single" w:sz="8" w:space="0" w:color="EBA953" w:themeColor="accent2" w:themeTint="BF"/>
        <w:right w:val="single" w:sz="8" w:space="0" w:color="EBA953" w:themeColor="accent2" w:themeTint="BF"/>
        <w:insideH w:val="single" w:sz="8" w:space="0" w:color="EBA95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A953" w:themeColor="accent2" w:themeTint="BF"/>
          <w:left w:val="single" w:sz="8" w:space="0" w:color="EBA953" w:themeColor="accent2" w:themeTint="BF"/>
          <w:bottom w:val="single" w:sz="8" w:space="0" w:color="EBA953" w:themeColor="accent2" w:themeTint="BF"/>
          <w:right w:val="single" w:sz="8" w:space="0" w:color="EBA953" w:themeColor="accent2" w:themeTint="BF"/>
          <w:insideH w:val="nil"/>
          <w:insideV w:val="nil"/>
        </w:tcBorders>
        <w:shd w:val="clear" w:color="auto" w:fill="E58E1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A953" w:themeColor="accent2" w:themeTint="BF"/>
          <w:left w:val="single" w:sz="8" w:space="0" w:color="EBA953" w:themeColor="accent2" w:themeTint="BF"/>
          <w:bottom w:val="single" w:sz="8" w:space="0" w:color="EBA953" w:themeColor="accent2" w:themeTint="BF"/>
          <w:right w:val="single" w:sz="8" w:space="0" w:color="EBA95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E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D9D1CD" w:themeColor="accent3" w:themeTint="BF"/>
        <w:left w:val="single" w:sz="8" w:space="0" w:color="D9D1CD" w:themeColor="accent3" w:themeTint="BF"/>
        <w:bottom w:val="single" w:sz="8" w:space="0" w:color="D9D1CD" w:themeColor="accent3" w:themeTint="BF"/>
        <w:right w:val="single" w:sz="8" w:space="0" w:color="D9D1CD" w:themeColor="accent3" w:themeTint="BF"/>
        <w:insideH w:val="single" w:sz="8" w:space="0" w:color="D9D1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9D1CD" w:themeColor="accent3" w:themeTint="BF"/>
          <w:left w:val="single" w:sz="8" w:space="0" w:color="D9D1CD" w:themeColor="accent3" w:themeTint="BF"/>
          <w:bottom w:val="single" w:sz="8" w:space="0" w:color="D9D1CD" w:themeColor="accent3" w:themeTint="BF"/>
          <w:right w:val="single" w:sz="8" w:space="0" w:color="D9D1CD" w:themeColor="accent3" w:themeTint="BF"/>
          <w:insideH w:val="nil"/>
          <w:insideV w:val="nil"/>
        </w:tcBorders>
        <w:shd w:val="clear" w:color="auto" w:fill="CDC3B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9D1CD" w:themeColor="accent3" w:themeTint="BF"/>
          <w:left w:val="single" w:sz="8" w:space="0" w:color="D9D1CD" w:themeColor="accent3" w:themeTint="BF"/>
          <w:bottom w:val="single" w:sz="8" w:space="0" w:color="D9D1CD" w:themeColor="accent3" w:themeTint="BF"/>
          <w:right w:val="single" w:sz="8" w:space="0" w:color="D9D1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F0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69990" w:themeColor="accent4" w:themeTint="BF"/>
        <w:left w:val="single" w:sz="8" w:space="0" w:color="C69990" w:themeColor="accent4" w:themeTint="BF"/>
        <w:bottom w:val="single" w:sz="8" w:space="0" w:color="C69990" w:themeColor="accent4" w:themeTint="BF"/>
        <w:right w:val="single" w:sz="8" w:space="0" w:color="C69990" w:themeColor="accent4" w:themeTint="BF"/>
        <w:insideH w:val="single" w:sz="8" w:space="0" w:color="C6999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9990" w:themeColor="accent4" w:themeTint="BF"/>
          <w:left w:val="single" w:sz="8" w:space="0" w:color="C69990" w:themeColor="accent4" w:themeTint="BF"/>
          <w:bottom w:val="single" w:sz="8" w:space="0" w:color="C69990" w:themeColor="accent4" w:themeTint="BF"/>
          <w:right w:val="single" w:sz="8" w:space="0" w:color="C69990" w:themeColor="accent4" w:themeTint="BF"/>
          <w:insideH w:val="nil"/>
          <w:insideV w:val="nil"/>
        </w:tcBorders>
        <w:shd w:val="clear" w:color="auto" w:fill="B4786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9990" w:themeColor="accent4" w:themeTint="BF"/>
          <w:left w:val="single" w:sz="8" w:space="0" w:color="C69990" w:themeColor="accent4" w:themeTint="BF"/>
          <w:bottom w:val="single" w:sz="8" w:space="0" w:color="C69990" w:themeColor="accent4" w:themeTint="BF"/>
          <w:right w:val="single" w:sz="8" w:space="0" w:color="C6999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92ABBC" w:themeColor="accent5" w:themeTint="BF"/>
        <w:left w:val="single" w:sz="8" w:space="0" w:color="92ABBC" w:themeColor="accent5" w:themeTint="BF"/>
        <w:bottom w:val="single" w:sz="8" w:space="0" w:color="92ABBC" w:themeColor="accent5" w:themeTint="BF"/>
        <w:right w:val="single" w:sz="8" w:space="0" w:color="92ABBC" w:themeColor="accent5" w:themeTint="BF"/>
        <w:insideH w:val="single" w:sz="8" w:space="0" w:color="92ABB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ABBC" w:themeColor="accent5" w:themeTint="BF"/>
          <w:left w:val="single" w:sz="8" w:space="0" w:color="92ABBC" w:themeColor="accent5" w:themeTint="BF"/>
          <w:bottom w:val="single" w:sz="8" w:space="0" w:color="92ABBC" w:themeColor="accent5" w:themeTint="BF"/>
          <w:right w:val="single" w:sz="8" w:space="0" w:color="92ABBC" w:themeColor="accent5" w:themeTint="BF"/>
          <w:insideH w:val="nil"/>
          <w:insideV w:val="nil"/>
        </w:tcBorders>
        <w:shd w:val="clear" w:color="auto" w:fill="6E90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ABBC" w:themeColor="accent5" w:themeTint="BF"/>
          <w:left w:val="single" w:sz="8" w:space="0" w:color="92ABBC" w:themeColor="accent5" w:themeTint="BF"/>
          <w:bottom w:val="single" w:sz="8" w:space="0" w:color="92ABBC" w:themeColor="accent5" w:themeTint="BF"/>
          <w:right w:val="single" w:sz="8" w:space="0" w:color="92ABB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3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3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1C8BD" w:themeColor="accent6" w:themeTint="BF"/>
        <w:left w:val="single" w:sz="8" w:space="0" w:color="C1C8BD" w:themeColor="accent6" w:themeTint="BF"/>
        <w:bottom w:val="single" w:sz="8" w:space="0" w:color="C1C8BD" w:themeColor="accent6" w:themeTint="BF"/>
        <w:right w:val="single" w:sz="8" w:space="0" w:color="C1C8BD" w:themeColor="accent6" w:themeTint="BF"/>
        <w:insideH w:val="single" w:sz="8" w:space="0" w:color="C1C8B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C8BD" w:themeColor="accent6" w:themeTint="BF"/>
          <w:left w:val="single" w:sz="8" w:space="0" w:color="C1C8BD" w:themeColor="accent6" w:themeTint="BF"/>
          <w:bottom w:val="single" w:sz="8" w:space="0" w:color="C1C8BD" w:themeColor="accent6" w:themeTint="BF"/>
          <w:right w:val="single" w:sz="8" w:space="0" w:color="C1C8BD" w:themeColor="accent6" w:themeTint="BF"/>
          <w:insideH w:val="nil"/>
          <w:insideV w:val="nil"/>
        </w:tcBorders>
        <w:shd w:val="clear" w:color="auto" w:fill="ADB6A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C8BD" w:themeColor="accent6" w:themeTint="BF"/>
          <w:left w:val="single" w:sz="8" w:space="0" w:color="C1C8BD" w:themeColor="accent6" w:themeTint="BF"/>
          <w:bottom w:val="single" w:sz="8" w:space="0" w:color="C1C8BD" w:themeColor="accent6" w:themeTint="BF"/>
          <w:right w:val="single" w:sz="8" w:space="0" w:color="C1C8B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D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D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56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56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56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58E1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58E1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58E1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DC3B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DC3B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DC3B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786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786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786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90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90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E90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B6A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B6A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B6A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locked/>
    <w:rsid w:val="00F8075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80750"/>
    <w:rPr>
      <w:rFonts w:asciiTheme="majorHAnsi" w:eastAsiaTheme="majorEastAsia" w:hAnsiTheme="majorHAnsi" w:cstheme="majorBidi"/>
      <w:noProof w:val="0"/>
      <w:sz w:val="24"/>
      <w:szCs w:val="24"/>
      <w:shd w:val="pct20" w:color="auto" w:fill="auto"/>
      <w:lang w:val="en-AU"/>
    </w:rPr>
  </w:style>
  <w:style w:type="paragraph" w:styleId="NoSpacing">
    <w:name w:val="No Spacing"/>
    <w:uiPriority w:val="1"/>
    <w:semiHidden/>
    <w:unhideWhenUsed/>
    <w:qFormat/>
    <w:rsid w:val="00F8075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locked/>
    <w:rsid w:val="00F80750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locked/>
    <w:rsid w:val="00F8075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locked/>
    <w:rsid w:val="00F8075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80750"/>
    <w:rPr>
      <w:noProof w:val="0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0750"/>
    <w:rPr>
      <w:noProof w:val="0"/>
      <w:lang w:val="en-AU"/>
    </w:rPr>
  </w:style>
  <w:style w:type="paragraph" w:styleId="PlainText">
    <w:name w:val="Plain Text"/>
    <w:basedOn w:val="Normal"/>
    <w:link w:val="PlainTextChar"/>
    <w:uiPriority w:val="99"/>
    <w:semiHidden/>
    <w:unhideWhenUsed/>
    <w:locked/>
    <w:rsid w:val="00F8075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80750"/>
    <w:rPr>
      <w:rFonts w:ascii="Consolas" w:hAnsi="Consolas"/>
      <w:noProof w:val="0"/>
      <w:sz w:val="21"/>
      <w:szCs w:val="21"/>
      <w:lang w:val="en-AU"/>
    </w:rPr>
  </w:style>
  <w:style w:type="paragraph" w:styleId="Quote">
    <w:name w:val="Quote"/>
    <w:basedOn w:val="Normal"/>
    <w:next w:val="Normal"/>
    <w:link w:val="QuoteChar"/>
    <w:uiPriority w:val="29"/>
    <w:semiHidden/>
    <w:qFormat/>
    <w:locked/>
    <w:rsid w:val="00F8075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80750"/>
    <w:rPr>
      <w:i/>
      <w:iCs/>
      <w:noProof w:val="0"/>
      <w:color w:val="000000" w:themeColor="text1"/>
      <w:lang w:val="en-AU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locked/>
    <w:rsid w:val="00F8075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80750"/>
    <w:rPr>
      <w:noProof w:val="0"/>
      <w:lang w:val="en-AU"/>
    </w:rPr>
  </w:style>
  <w:style w:type="paragraph" w:styleId="Signature">
    <w:name w:val="Signature"/>
    <w:basedOn w:val="Normal"/>
    <w:link w:val="SignatureChar"/>
    <w:uiPriority w:val="99"/>
    <w:semiHidden/>
    <w:unhideWhenUsed/>
    <w:locked/>
    <w:rsid w:val="00F80750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80750"/>
    <w:rPr>
      <w:noProof w:val="0"/>
      <w:lang w:val="en-AU"/>
    </w:rPr>
  </w:style>
  <w:style w:type="character" w:styleId="Strong">
    <w:name w:val="Strong"/>
    <w:basedOn w:val="DefaultParagraphFont"/>
    <w:uiPriority w:val="17"/>
    <w:qFormat/>
    <w:rsid w:val="00F80750"/>
    <w:rPr>
      <w:b/>
      <w:bCs/>
      <w:noProof w:val="0"/>
      <w:lang w:val="en-AU"/>
    </w:rPr>
  </w:style>
  <w:style w:type="paragraph" w:styleId="Subtitle">
    <w:name w:val="Subtitle"/>
    <w:basedOn w:val="Normal"/>
    <w:next w:val="Normal"/>
    <w:link w:val="SubtitleChar"/>
    <w:uiPriority w:val="19"/>
    <w:semiHidden/>
    <w:unhideWhenUsed/>
    <w:qFormat/>
    <w:locked/>
    <w:rsid w:val="00F80750"/>
    <w:pPr>
      <w:numPr>
        <w:ilvl w:val="1"/>
      </w:numPr>
    </w:pPr>
    <w:rPr>
      <w:rFonts w:asciiTheme="majorHAnsi" w:eastAsiaTheme="majorEastAsia" w:hAnsiTheme="majorHAnsi" w:cstheme="majorBidi"/>
      <w:i/>
      <w:iCs/>
      <w:color w:val="00456B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9"/>
    <w:semiHidden/>
    <w:rsid w:val="00083512"/>
    <w:rPr>
      <w:rFonts w:asciiTheme="majorHAnsi" w:eastAsiaTheme="majorEastAsia" w:hAnsiTheme="majorHAnsi" w:cstheme="majorBidi"/>
      <w:i/>
      <w:iCs/>
      <w:color w:val="00456B" w:themeColor="accent1"/>
      <w:spacing w:val="15"/>
    </w:rPr>
  </w:style>
  <w:style w:type="character" w:styleId="SubtleEmphasis">
    <w:name w:val="Subtle Emphasis"/>
    <w:basedOn w:val="DefaultParagraphFont"/>
    <w:uiPriority w:val="19"/>
    <w:semiHidden/>
    <w:qFormat/>
    <w:locked/>
    <w:rsid w:val="00F80750"/>
    <w:rPr>
      <w:i/>
      <w:iCs/>
      <w:noProof w:val="0"/>
      <w:color w:val="808080" w:themeColor="text1" w:themeTint="7F"/>
      <w:lang w:val="en-AU"/>
    </w:rPr>
  </w:style>
  <w:style w:type="character" w:styleId="SubtleReference">
    <w:name w:val="Subtle Reference"/>
    <w:basedOn w:val="DefaultParagraphFont"/>
    <w:uiPriority w:val="31"/>
    <w:semiHidden/>
    <w:qFormat/>
    <w:locked/>
    <w:rsid w:val="00F80750"/>
    <w:rPr>
      <w:smallCaps/>
      <w:noProof w:val="0"/>
      <w:color w:val="E58E1A" w:themeColor="accent2"/>
      <w:u w:val="single"/>
      <w:lang w:val="en-AU"/>
    </w:rPr>
  </w:style>
  <w:style w:type="table" w:styleId="Table3Deffects1">
    <w:name w:val="Table 3D effects 1"/>
    <w:basedOn w:val="TableNormal"/>
    <w:uiPriority w:val="99"/>
    <w:semiHidden/>
    <w:unhideWhenUsed/>
    <w:locked/>
    <w:rsid w:val="00F8075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locked/>
    <w:rsid w:val="00F8075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locked/>
    <w:rsid w:val="00F807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locked/>
    <w:rsid w:val="00F8075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locked/>
    <w:rsid w:val="00F8075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locked/>
    <w:rsid w:val="00F8075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locked/>
    <w:rsid w:val="00F8075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locked/>
    <w:rsid w:val="00F8075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locked/>
    <w:rsid w:val="00F8075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locked/>
    <w:rsid w:val="00F8075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locked/>
    <w:rsid w:val="00F8075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locked/>
    <w:rsid w:val="00F8075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locked/>
    <w:rsid w:val="00F8075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locked/>
    <w:rsid w:val="00F8075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locked/>
    <w:rsid w:val="00F8075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locked/>
    <w:rsid w:val="00F8075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locked/>
    <w:rsid w:val="00F8075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locked/>
    <w:rsid w:val="00F8075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locked/>
    <w:rsid w:val="00F8075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locked/>
    <w:rsid w:val="00F8075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locked/>
    <w:rsid w:val="00F807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locked/>
    <w:rsid w:val="00F8075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locked/>
    <w:rsid w:val="00F807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80750"/>
    <w:pPr>
      <w:spacing w:after="0"/>
      <w:ind w:left="190" w:hanging="19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8075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F8075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locked/>
    <w:rsid w:val="00F8075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locked/>
    <w:rsid w:val="00F8075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locked/>
    <w:rsid w:val="00F8075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locked/>
    <w:rsid w:val="00F807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locked/>
    <w:rsid w:val="00F8075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locked/>
    <w:rsid w:val="00F8075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locked/>
    <w:rsid w:val="00F8075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80750"/>
    <w:rPr>
      <w:rFonts w:asciiTheme="majorHAnsi" w:eastAsiaTheme="majorEastAsia" w:hAnsiTheme="majorHAnsi" w:cstheme="majorBidi"/>
      <w:b/>
      <w:bCs/>
    </w:rPr>
  </w:style>
  <w:style w:type="paragraph" w:styleId="TOC2">
    <w:name w:val="toc 2"/>
    <w:basedOn w:val="Normal"/>
    <w:next w:val="Normal"/>
    <w:autoRedefine/>
    <w:uiPriority w:val="39"/>
    <w:rsid w:val="008637EC"/>
    <w:pPr>
      <w:tabs>
        <w:tab w:val="left" w:pos="635"/>
        <w:tab w:val="left" w:pos="1140"/>
        <w:tab w:val="right" w:leader="dot" w:pos="10546"/>
      </w:tabs>
      <w:spacing w:after="100"/>
      <w:ind w:left="442"/>
      <w:contextualSpacing/>
    </w:pPr>
  </w:style>
  <w:style w:type="paragraph" w:styleId="TOC3">
    <w:name w:val="toc 3"/>
    <w:basedOn w:val="Normal"/>
    <w:next w:val="Normal"/>
    <w:autoRedefine/>
    <w:uiPriority w:val="39"/>
    <w:rsid w:val="008637EC"/>
    <w:pPr>
      <w:tabs>
        <w:tab w:val="left" w:pos="1644"/>
        <w:tab w:val="left" w:pos="2030"/>
        <w:tab w:val="right" w:leader="dot" w:pos="10546"/>
      </w:tabs>
      <w:spacing w:after="100"/>
      <w:ind w:left="1140"/>
    </w:pPr>
  </w:style>
  <w:style w:type="paragraph" w:styleId="TOC4">
    <w:name w:val="toc 4"/>
    <w:basedOn w:val="Normal"/>
    <w:next w:val="Normal"/>
    <w:autoRedefine/>
    <w:uiPriority w:val="39"/>
    <w:semiHidden/>
    <w:unhideWhenUsed/>
    <w:locked/>
    <w:rsid w:val="00F80750"/>
    <w:pPr>
      <w:spacing w:after="100"/>
      <w:ind w:left="570"/>
    </w:pPr>
  </w:style>
  <w:style w:type="paragraph" w:styleId="TOC5">
    <w:name w:val="toc 5"/>
    <w:basedOn w:val="Normal"/>
    <w:next w:val="Normal"/>
    <w:autoRedefine/>
    <w:uiPriority w:val="39"/>
    <w:semiHidden/>
    <w:unhideWhenUsed/>
    <w:locked/>
    <w:rsid w:val="00F80750"/>
    <w:pPr>
      <w:spacing w:after="100"/>
      <w:ind w:left="760"/>
    </w:pPr>
  </w:style>
  <w:style w:type="paragraph" w:styleId="TOC6">
    <w:name w:val="toc 6"/>
    <w:basedOn w:val="Normal"/>
    <w:next w:val="Normal"/>
    <w:autoRedefine/>
    <w:uiPriority w:val="39"/>
    <w:semiHidden/>
    <w:unhideWhenUsed/>
    <w:locked/>
    <w:rsid w:val="00F80750"/>
    <w:pPr>
      <w:spacing w:after="100"/>
      <w:ind w:left="950"/>
    </w:pPr>
  </w:style>
  <w:style w:type="paragraph" w:styleId="TOC7">
    <w:name w:val="toc 7"/>
    <w:basedOn w:val="Normal"/>
    <w:next w:val="Normal"/>
    <w:autoRedefine/>
    <w:uiPriority w:val="39"/>
    <w:semiHidden/>
    <w:unhideWhenUsed/>
    <w:locked/>
    <w:rsid w:val="00F80750"/>
    <w:pPr>
      <w:spacing w:after="100"/>
      <w:ind w:left="1140"/>
    </w:pPr>
  </w:style>
  <w:style w:type="paragraph" w:styleId="TOC8">
    <w:name w:val="toc 8"/>
    <w:basedOn w:val="Normal"/>
    <w:next w:val="Normal"/>
    <w:autoRedefine/>
    <w:uiPriority w:val="39"/>
    <w:semiHidden/>
    <w:unhideWhenUsed/>
    <w:locked/>
    <w:rsid w:val="00F80750"/>
    <w:pPr>
      <w:spacing w:after="100"/>
      <w:ind w:left="1330"/>
    </w:pPr>
  </w:style>
  <w:style w:type="paragraph" w:styleId="TOC9">
    <w:name w:val="toc 9"/>
    <w:basedOn w:val="Normal"/>
    <w:next w:val="Normal"/>
    <w:autoRedefine/>
    <w:uiPriority w:val="39"/>
    <w:semiHidden/>
    <w:unhideWhenUsed/>
    <w:locked/>
    <w:rsid w:val="00F80750"/>
    <w:pPr>
      <w:spacing w:after="100"/>
      <w:ind w:left="1520"/>
    </w:pPr>
  </w:style>
  <w:style w:type="paragraph" w:customStyle="1" w:styleId="AppendixHeading">
    <w:name w:val="Appendix Heading"/>
    <w:basedOn w:val="Heading1"/>
    <w:next w:val="Normal"/>
    <w:uiPriority w:val="11"/>
    <w:qFormat/>
    <w:rsid w:val="00034A19"/>
    <w:pPr>
      <w:numPr>
        <w:ilvl w:val="5"/>
      </w:numPr>
    </w:pPr>
  </w:style>
  <w:style w:type="paragraph" w:customStyle="1" w:styleId="Notes">
    <w:name w:val="Notes"/>
    <w:basedOn w:val="Normal"/>
    <w:semiHidden/>
    <w:qFormat/>
    <w:locked/>
    <w:rsid w:val="00503A51"/>
    <w:pPr>
      <w:numPr>
        <w:ilvl w:val="4"/>
        <w:numId w:val="25"/>
      </w:numPr>
      <w:spacing w:after="240"/>
      <w:jc w:val="both"/>
    </w:pPr>
    <w:rPr>
      <w:sz w:val="20"/>
    </w:rPr>
  </w:style>
  <w:style w:type="numbering" w:customStyle="1" w:styleId="GeneralList">
    <w:name w:val="General List"/>
    <w:uiPriority w:val="99"/>
    <w:locked/>
    <w:rsid w:val="00503A51"/>
    <w:pPr>
      <w:numPr>
        <w:numId w:val="23"/>
      </w:numPr>
    </w:pPr>
  </w:style>
  <w:style w:type="numbering" w:customStyle="1" w:styleId="CustomHeadingList">
    <w:name w:val="Custom Heading List"/>
    <w:uiPriority w:val="99"/>
    <w:rsid w:val="003A3021"/>
    <w:pPr>
      <w:numPr>
        <w:numId w:val="26"/>
      </w:numPr>
    </w:pPr>
  </w:style>
  <w:style w:type="paragraph" w:customStyle="1" w:styleId="Introduction">
    <w:name w:val="Introduction"/>
    <w:basedOn w:val="Normal"/>
    <w:uiPriority w:val="10"/>
    <w:qFormat/>
    <w:rsid w:val="00012728"/>
    <w:rPr>
      <w:sz w:val="28"/>
    </w:rPr>
  </w:style>
  <w:style w:type="paragraph" w:customStyle="1" w:styleId="CoverReportNumber">
    <w:name w:val="Cover Report Number"/>
    <w:basedOn w:val="Normal"/>
    <w:uiPriority w:val="19"/>
    <w:qFormat/>
    <w:rsid w:val="00755163"/>
    <w:pPr>
      <w:spacing w:after="0"/>
    </w:pPr>
  </w:style>
  <w:style w:type="paragraph" w:customStyle="1" w:styleId="CoverVersionDate">
    <w:name w:val="Cover Version / Date"/>
    <w:basedOn w:val="CoverReportNumber"/>
    <w:uiPriority w:val="19"/>
    <w:qFormat/>
    <w:rsid w:val="00755163"/>
  </w:style>
  <w:style w:type="table" w:customStyle="1" w:styleId="CustomTable">
    <w:name w:val="Custom Table"/>
    <w:basedOn w:val="TableGrid"/>
    <w:uiPriority w:val="99"/>
    <w:rsid w:val="00DC5900"/>
    <w:tblPr>
      <w:tblStyleRowBandSize w:val="1"/>
      <w:tblStyleColBandSize w:val="1"/>
    </w:tblPr>
    <w:tblStylePr w:type="firstRow">
      <w:rPr>
        <w:b/>
      </w:rPr>
      <w:tblPr/>
      <w:trPr>
        <w:tblHeader/>
      </w:trPr>
      <w:tcPr>
        <w:shd w:val="clear" w:color="auto" w:fill="00456B" w:themeFill="accent1"/>
      </w:tcPr>
    </w:tblStylePr>
    <w:tblStylePr w:type="lastRow">
      <w:rPr>
        <w:b/>
      </w:rPr>
    </w:tblStylePr>
    <w:tblStylePr w:type="firstCol">
      <w:rPr>
        <w:b/>
        <w:color w:val="FFFFFF" w:themeColor="background1"/>
      </w:rPr>
      <w:tblPr/>
      <w:tcPr>
        <w:shd w:val="clear" w:color="auto" w:fill="6E90A6" w:themeFill="accent5"/>
      </w:tcPr>
    </w:tblStylePr>
    <w:tblStylePr w:type="lastCol">
      <w:pPr>
        <w:jc w:val="right"/>
      </w:pPr>
    </w:tblStylePr>
    <w:tblStylePr w:type="band2Vert">
      <w:tblPr/>
      <w:tcPr>
        <w:shd w:val="clear" w:color="auto" w:fill="F5F2F1" w:themeFill="accent3" w:themeFillTint="33"/>
      </w:tcPr>
    </w:tblStylePr>
    <w:tblStylePr w:type="band2Horz">
      <w:tblPr/>
      <w:tcPr>
        <w:shd w:val="clear" w:color="auto" w:fill="E1E8ED" w:themeFill="accent5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4"/>
        <w:lang w:val="en-AU" w:eastAsia="en-US" w:bidi="ar-SA"/>
      </w:rPr>
    </w:rPrDefault>
    <w:pPrDefault>
      <w:pPr>
        <w:spacing w:before="120" w:after="12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locked="0" w:uiPriority="9" w:qFormat="1"/>
    <w:lsdException w:name="heading 5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 w:semiHidden="0"/>
    <w:lsdException w:name="header" w:locked="0" w:semiHidden="0"/>
    <w:lsdException w:name="footer" w:locked="0" w:semiHidden="0"/>
    <w:lsdException w:name="caption" w:semiHidden="0" w:uiPriority="35" w:qFormat="1"/>
    <w:lsdException w:name="footnote reference" w:locked="0" w:semiHidden="0"/>
    <w:lsdException w:name="endnote reference" w:locked="0" w:semiHidden="0"/>
    <w:lsdException w:name="endnote text" w:locked="0" w:semiHidden="0"/>
    <w:lsdException w:name="List Bullet" w:semiHidden="0" w:qFormat="1"/>
    <w:lsdException w:name="List Number" w:semiHidden="0" w:unhideWhenUsed="0" w:qFormat="1"/>
    <w:lsdException w:name="List Bullet 2" w:semiHidden="0" w:qFormat="1"/>
    <w:lsdException w:name="List Bullet 3" w:semiHidden="0" w:qFormat="1"/>
    <w:lsdException w:name="List Bullet 4" w:semiHidden="0" w:qFormat="1"/>
    <w:lsdException w:name="List Number 2" w:semiHidden="0" w:qFormat="1"/>
    <w:lsdException w:name="List Number 3" w:semiHidden="0" w:qFormat="1"/>
    <w:lsdException w:name="List Number 4" w:semiHidden="0" w:qFormat="1"/>
    <w:lsdException w:name="Title" w:semiHidden="0" w:uiPriority="10" w:unhideWhenUsed="0" w:qFormat="1"/>
    <w:lsdException w:name="Default Paragraph Font" w:locked="0" w:uiPriority="1"/>
    <w:lsdException w:name="Subtitle" w:uiPriority="11" w:qFormat="1"/>
    <w:lsdException w:name="Hyperlink" w:locked="0"/>
    <w:lsdException w:name="FollowedHyperlink" w:locked="0" w:semiHidden="0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59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qFormat="1"/>
  </w:latentStyles>
  <w:style w:type="paragraph" w:default="1" w:styleId="Normal">
    <w:name w:val="Normal"/>
    <w:qFormat/>
    <w:rsid w:val="00DC5900"/>
  </w:style>
  <w:style w:type="paragraph" w:styleId="Heading1">
    <w:name w:val="heading 1"/>
    <w:basedOn w:val="Normal"/>
    <w:next w:val="Normal"/>
    <w:link w:val="Heading1Char"/>
    <w:uiPriority w:val="9"/>
    <w:unhideWhenUsed/>
    <w:qFormat/>
    <w:rsid w:val="00012728"/>
    <w:pPr>
      <w:keepNext/>
      <w:keepLines/>
      <w:numPr>
        <w:numId w:val="31"/>
      </w:numPr>
      <w:spacing w:before="240"/>
      <w:outlineLvl w:val="0"/>
    </w:pPr>
    <w:rPr>
      <w:rFonts w:asciiTheme="majorHAnsi" w:eastAsiaTheme="majorEastAsia" w:hAnsiTheme="majorHAnsi" w:cstheme="majorBidi"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2728"/>
    <w:pPr>
      <w:keepNext/>
      <w:keepLines/>
      <w:numPr>
        <w:ilvl w:val="1"/>
        <w:numId w:val="31"/>
      </w:numPr>
      <w:spacing w:before="240"/>
      <w:outlineLvl w:val="1"/>
    </w:pPr>
    <w:rPr>
      <w:rFonts w:asciiTheme="majorHAnsi" w:eastAsiaTheme="majorEastAsia" w:hAnsiTheme="majorHAnsi" w:cstheme="majorBidi"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012728"/>
    <w:pPr>
      <w:keepNext/>
      <w:keepLines/>
      <w:numPr>
        <w:ilvl w:val="2"/>
        <w:numId w:val="31"/>
      </w:numPr>
      <w:spacing w:before="240"/>
      <w:outlineLvl w:val="2"/>
    </w:pPr>
    <w:rPr>
      <w:rFonts w:asciiTheme="majorHAnsi" w:eastAsiaTheme="majorEastAsia" w:hAnsiTheme="majorHAnsi" w:cstheme="majorBidi"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31E"/>
    <w:pPr>
      <w:keepNext/>
      <w:keepLines/>
      <w:numPr>
        <w:ilvl w:val="3"/>
        <w:numId w:val="31"/>
      </w:numPr>
      <w:spacing w:before="240"/>
      <w:outlineLvl w:val="3"/>
    </w:pPr>
    <w:rPr>
      <w:rFonts w:asciiTheme="majorHAnsi" w:eastAsiaTheme="majorEastAsia" w:hAnsiTheme="majorHAnsi" w:cstheme="majorBidi"/>
      <w:bCs/>
      <w:iCs/>
      <w:color w:val="000000" w:themeColor="text1"/>
      <w:sz w:val="32"/>
    </w:rPr>
  </w:style>
  <w:style w:type="paragraph" w:styleId="Heading5">
    <w:name w:val="heading 5"/>
    <w:basedOn w:val="Normal"/>
    <w:next w:val="Normal"/>
    <w:link w:val="Heading5Char"/>
    <w:uiPriority w:val="9"/>
    <w:qFormat/>
    <w:rsid w:val="00B41D8E"/>
    <w:pPr>
      <w:keepNext/>
      <w:keepLines/>
      <w:numPr>
        <w:ilvl w:val="4"/>
        <w:numId w:val="31"/>
      </w:numPr>
      <w:spacing w:before="240"/>
      <w:outlineLvl w:val="4"/>
    </w:pPr>
    <w:rPr>
      <w:rFonts w:asciiTheme="majorHAnsi" w:eastAsiaTheme="majorEastAsia" w:hAnsiTheme="majorHAnsi" w:cstheme="majorBidi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locked/>
    <w:rsid w:val="00F8075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2235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locked/>
    <w:rsid w:val="00F8075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locked/>
    <w:rsid w:val="00F8075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locked/>
    <w:rsid w:val="00F8075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2728"/>
    <w:rPr>
      <w:rFonts w:asciiTheme="majorHAnsi" w:eastAsiaTheme="majorEastAsia" w:hAnsiTheme="majorHAnsi" w:cstheme="majorBidi"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12728"/>
    <w:rPr>
      <w:rFonts w:asciiTheme="majorHAnsi" w:eastAsiaTheme="majorEastAsia" w:hAnsiTheme="majorHAnsi" w:cstheme="majorBidi"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12728"/>
    <w:rPr>
      <w:rFonts w:asciiTheme="majorHAnsi" w:eastAsiaTheme="majorEastAsia" w:hAnsiTheme="majorHAnsi" w:cstheme="majorBidi"/>
      <w:bCs/>
      <w:sz w:val="26"/>
    </w:rPr>
  </w:style>
  <w:style w:type="paragraph" w:customStyle="1" w:styleId="CoverSubtitle">
    <w:name w:val="Cover Subtitle"/>
    <w:basedOn w:val="Normal"/>
    <w:next w:val="CoverIntroductionText"/>
    <w:uiPriority w:val="20"/>
    <w:qFormat/>
    <w:rsid w:val="009417AE"/>
    <w:pPr>
      <w:spacing w:after="0"/>
    </w:pPr>
    <w:rPr>
      <w:rFonts w:asciiTheme="majorHAnsi" w:hAnsiTheme="majorHAnsi"/>
      <w:sz w:val="36"/>
    </w:rPr>
  </w:style>
  <w:style w:type="paragraph" w:customStyle="1" w:styleId="BodyBullet1">
    <w:name w:val="Body Bullet 1"/>
    <w:basedOn w:val="Normal"/>
    <w:semiHidden/>
    <w:qFormat/>
    <w:locked/>
    <w:rsid w:val="008A72D2"/>
    <w:pPr>
      <w:numPr>
        <w:numId w:val="1"/>
      </w:numPr>
      <w:spacing w:line="240" w:lineRule="atLeast"/>
      <w:ind w:left="714" w:hanging="357"/>
      <w:contextualSpacing/>
    </w:pPr>
  </w:style>
  <w:style w:type="paragraph" w:customStyle="1" w:styleId="BodyBullet2">
    <w:name w:val="Body Bullet 2"/>
    <w:basedOn w:val="BodyBullet1"/>
    <w:semiHidden/>
    <w:qFormat/>
    <w:locked/>
    <w:rsid w:val="008A72D2"/>
    <w:pPr>
      <w:numPr>
        <w:numId w:val="2"/>
      </w:numPr>
      <w:ind w:hanging="357"/>
    </w:pPr>
  </w:style>
  <w:style w:type="paragraph" w:customStyle="1" w:styleId="CoverIntroductionText">
    <w:name w:val="Cover Introduction Text"/>
    <w:basedOn w:val="Normal"/>
    <w:uiPriority w:val="20"/>
    <w:rsid w:val="003E6BF6"/>
    <w:pPr>
      <w:spacing w:after="113"/>
    </w:pPr>
    <w:rPr>
      <w:color w:val="000000" w:themeColor="text1"/>
      <w:spacing w:val="-2"/>
    </w:rPr>
  </w:style>
  <w:style w:type="character" w:customStyle="1" w:styleId="Heading4Char">
    <w:name w:val="Heading 4 Char"/>
    <w:basedOn w:val="DefaultParagraphFont"/>
    <w:link w:val="Heading4"/>
    <w:uiPriority w:val="9"/>
    <w:rsid w:val="0089031E"/>
    <w:rPr>
      <w:rFonts w:asciiTheme="majorHAnsi" w:eastAsiaTheme="majorEastAsia" w:hAnsiTheme="majorHAnsi" w:cstheme="majorBidi"/>
      <w:bCs/>
      <w:iCs/>
      <w:color w:val="000000" w:themeColor="text1"/>
      <w:sz w:val="32"/>
    </w:rPr>
  </w:style>
  <w:style w:type="paragraph" w:styleId="ListBullet">
    <w:name w:val="List Bullet"/>
    <w:basedOn w:val="Normal"/>
    <w:uiPriority w:val="16"/>
    <w:qFormat/>
    <w:rsid w:val="00503A51"/>
    <w:pPr>
      <w:numPr>
        <w:numId w:val="25"/>
      </w:numPr>
    </w:pPr>
  </w:style>
  <w:style w:type="paragraph" w:styleId="ListBullet2">
    <w:name w:val="List Bullet 2"/>
    <w:basedOn w:val="ListBullet"/>
    <w:uiPriority w:val="16"/>
    <w:qFormat/>
    <w:rsid w:val="00503A51"/>
    <w:pPr>
      <w:numPr>
        <w:ilvl w:val="1"/>
      </w:numPr>
    </w:pPr>
    <w:rPr>
      <w:color w:val="000000" w:themeColor="text1"/>
    </w:rPr>
  </w:style>
  <w:style w:type="paragraph" w:styleId="ListNumber">
    <w:name w:val="List Number"/>
    <w:basedOn w:val="Normal"/>
    <w:uiPriority w:val="16"/>
    <w:qFormat/>
    <w:rsid w:val="00E84A6B"/>
    <w:pPr>
      <w:numPr>
        <w:ilvl w:val="6"/>
        <w:numId w:val="31"/>
      </w:numPr>
    </w:pPr>
  </w:style>
  <w:style w:type="paragraph" w:styleId="ListNumber2">
    <w:name w:val="List Number 2"/>
    <w:basedOn w:val="Normal"/>
    <w:uiPriority w:val="16"/>
    <w:qFormat/>
    <w:rsid w:val="00E84A6B"/>
    <w:pPr>
      <w:numPr>
        <w:ilvl w:val="7"/>
        <w:numId w:val="31"/>
      </w:numPr>
    </w:pPr>
  </w:style>
  <w:style w:type="numbering" w:customStyle="1" w:styleId="Lists">
    <w:name w:val="Lists"/>
    <w:uiPriority w:val="99"/>
    <w:rsid w:val="00CB4238"/>
    <w:pPr>
      <w:numPr>
        <w:numId w:val="10"/>
      </w:numPr>
    </w:pPr>
  </w:style>
  <w:style w:type="paragraph" w:styleId="ListNumber3">
    <w:name w:val="List Number 3"/>
    <w:basedOn w:val="Normal"/>
    <w:uiPriority w:val="16"/>
    <w:qFormat/>
    <w:rsid w:val="00EA48AE"/>
    <w:pPr>
      <w:numPr>
        <w:ilvl w:val="8"/>
        <w:numId w:val="31"/>
      </w:numPr>
    </w:pPr>
  </w:style>
  <w:style w:type="paragraph" w:styleId="Title">
    <w:name w:val="Title"/>
    <w:basedOn w:val="Normal"/>
    <w:next w:val="CoverSubtitle"/>
    <w:link w:val="TitleChar"/>
    <w:uiPriority w:val="18"/>
    <w:qFormat/>
    <w:rsid w:val="00AC286B"/>
    <w:pPr>
      <w:spacing w:before="240" w:after="240"/>
    </w:pPr>
    <w:rPr>
      <w:rFonts w:asciiTheme="majorHAnsi" w:eastAsiaTheme="majorEastAsia" w:hAnsiTheme="majorHAnsi" w:cstheme="majorBidi"/>
      <w:b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8"/>
    <w:rsid w:val="00DC5900"/>
    <w:rPr>
      <w:rFonts w:asciiTheme="majorHAnsi" w:eastAsiaTheme="majorEastAsia" w:hAnsiTheme="majorHAnsi" w:cstheme="majorBidi"/>
      <w:b/>
      <w:sz w:val="40"/>
      <w:szCs w:val="52"/>
    </w:rPr>
  </w:style>
  <w:style w:type="numbering" w:customStyle="1" w:styleId="MultiLevelheadinglist">
    <w:name w:val="Multi Level heading list"/>
    <w:uiPriority w:val="99"/>
    <w:rsid w:val="00D461C2"/>
    <w:pPr>
      <w:numPr>
        <w:numId w:val="12"/>
      </w:numPr>
    </w:pPr>
  </w:style>
  <w:style w:type="paragraph" w:styleId="TOC1">
    <w:name w:val="toc 1"/>
    <w:basedOn w:val="Normal"/>
    <w:next w:val="Normal"/>
    <w:autoRedefine/>
    <w:uiPriority w:val="39"/>
    <w:rsid w:val="009417AE"/>
    <w:pPr>
      <w:tabs>
        <w:tab w:val="left" w:pos="440"/>
        <w:tab w:val="right" w:leader="dot" w:pos="10546"/>
      </w:tabs>
      <w:spacing w:before="57" w:after="57"/>
      <w:contextualSpacing/>
    </w:pPr>
    <w:rPr>
      <w:sz w:val="26"/>
    </w:rPr>
  </w:style>
  <w:style w:type="paragraph" w:styleId="TOCHeading">
    <w:name w:val="TOC Heading"/>
    <w:basedOn w:val="Heading1"/>
    <w:next w:val="Normal"/>
    <w:uiPriority w:val="39"/>
    <w:qFormat/>
    <w:rsid w:val="003E6BF6"/>
    <w:pPr>
      <w:numPr>
        <w:numId w:val="0"/>
      </w:numPr>
      <w:outlineLvl w:val="9"/>
    </w:pPr>
  </w:style>
  <w:style w:type="paragraph" w:styleId="Footer">
    <w:name w:val="footer"/>
    <w:basedOn w:val="Normal"/>
    <w:link w:val="FooterChar"/>
    <w:uiPriority w:val="99"/>
    <w:rsid w:val="0069407C"/>
    <w:pPr>
      <w:tabs>
        <w:tab w:val="center" w:pos="4513"/>
        <w:tab w:val="right" w:pos="9026"/>
      </w:tabs>
      <w:spacing w:line="200" w:lineRule="exact"/>
    </w:pPr>
    <w:rPr>
      <w:rFonts w:asciiTheme="majorHAnsi" w:hAnsiTheme="majorHAnsi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69407C"/>
    <w:rPr>
      <w:rFonts w:asciiTheme="majorHAnsi" w:hAnsiTheme="majorHAnsi"/>
      <w:sz w:val="16"/>
    </w:rPr>
  </w:style>
  <w:style w:type="paragraph" w:styleId="ListBullet3">
    <w:name w:val="List Bullet 3"/>
    <w:basedOn w:val="Normal"/>
    <w:uiPriority w:val="16"/>
    <w:qFormat/>
    <w:rsid w:val="00503A51"/>
    <w:pPr>
      <w:numPr>
        <w:ilvl w:val="2"/>
        <w:numId w:val="25"/>
      </w:numPr>
      <w:contextualSpacing/>
    </w:pPr>
  </w:style>
  <w:style w:type="paragraph" w:styleId="ListBullet4">
    <w:name w:val="List Bullet 4"/>
    <w:basedOn w:val="Normal"/>
    <w:uiPriority w:val="16"/>
    <w:qFormat/>
    <w:rsid w:val="00503A51"/>
    <w:pPr>
      <w:numPr>
        <w:ilvl w:val="3"/>
        <w:numId w:val="25"/>
      </w:numPr>
      <w:contextualSpacing/>
    </w:pPr>
  </w:style>
  <w:style w:type="table" w:styleId="TableGrid">
    <w:name w:val="Table Grid"/>
    <w:basedOn w:val="TableNormal"/>
    <w:uiPriority w:val="59"/>
    <w:rsid w:val="00DC5900"/>
    <w:pPr>
      <w:spacing w:before="57" w:after="57"/>
      <w:ind w:left="108" w:right="108"/>
    </w:pPr>
    <w:tblPr>
      <w:tblBorders>
        <w:top w:val="single" w:sz="4" w:space="0" w:color="CDC3BD" w:themeColor="accent3"/>
        <w:left w:val="single" w:sz="4" w:space="0" w:color="CDC3BD" w:themeColor="accent3"/>
        <w:bottom w:val="single" w:sz="4" w:space="0" w:color="CDC3BD" w:themeColor="accent3"/>
        <w:right w:val="single" w:sz="4" w:space="0" w:color="CDC3BD" w:themeColor="accent3"/>
        <w:insideH w:val="single" w:sz="4" w:space="0" w:color="CDC3BD" w:themeColor="accent3"/>
        <w:insideV w:val="single" w:sz="4" w:space="0" w:color="CDC3BD" w:themeColor="accent3"/>
      </w:tblBorders>
      <w:tblCellMar>
        <w:left w:w="0" w:type="dxa"/>
        <w:right w:w="0" w:type="dxa"/>
      </w:tblCellMar>
    </w:tblPr>
    <w:tblStylePr w:type="firstRow">
      <w:rPr>
        <w:b/>
      </w:rPr>
      <w:tblPr/>
      <w:trPr>
        <w:tblHeader/>
      </w:trPr>
      <w:tcPr>
        <w:shd w:val="clear" w:color="auto" w:fill="00456B" w:themeFill="accent1"/>
      </w:tcPr>
    </w:tblStylePr>
  </w:style>
  <w:style w:type="paragraph" w:styleId="Caption">
    <w:name w:val="caption"/>
    <w:basedOn w:val="Normal"/>
    <w:next w:val="Normal"/>
    <w:uiPriority w:val="35"/>
    <w:qFormat/>
    <w:rsid w:val="003E6BF6"/>
    <w:pPr>
      <w:spacing w:after="340"/>
    </w:pPr>
    <w:rPr>
      <w:b/>
      <w:bCs/>
      <w:sz w:val="20"/>
      <w:szCs w:val="18"/>
    </w:rPr>
  </w:style>
  <w:style w:type="paragraph" w:styleId="Header">
    <w:name w:val="header"/>
    <w:basedOn w:val="Normal"/>
    <w:link w:val="HeaderChar"/>
    <w:uiPriority w:val="99"/>
    <w:rsid w:val="00755163"/>
    <w:pPr>
      <w:tabs>
        <w:tab w:val="center" w:pos="4513"/>
        <w:tab w:val="right" w:pos="9026"/>
      </w:tabs>
      <w:spacing w:after="0" w:line="240" w:lineRule="auto"/>
      <w:jc w:val="righ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755163"/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C63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6DA"/>
    <w:rPr>
      <w:rFonts w:ascii="Tahoma" w:hAnsi="Tahoma" w:cs="Tahoma"/>
      <w:noProof w:val="0"/>
      <w:sz w:val="16"/>
      <w:szCs w:val="16"/>
      <w:lang w:val="en-AU"/>
    </w:rPr>
  </w:style>
  <w:style w:type="character" w:styleId="PlaceholderText">
    <w:name w:val="Placeholder Text"/>
    <w:basedOn w:val="DefaultParagraphFont"/>
    <w:uiPriority w:val="99"/>
    <w:unhideWhenUsed/>
    <w:rsid w:val="00764992"/>
    <w:rPr>
      <w:noProof w:val="0"/>
      <w:color w:val="808080"/>
      <w:sz w:val="16"/>
      <w:lang w:val="en-AU"/>
    </w:rPr>
  </w:style>
  <w:style w:type="paragraph" w:styleId="ListNumber4">
    <w:name w:val="List Number 4"/>
    <w:basedOn w:val="Normal"/>
    <w:uiPriority w:val="16"/>
    <w:semiHidden/>
    <w:qFormat/>
    <w:locked/>
    <w:rsid w:val="00DA4C48"/>
    <w:pPr>
      <w:contextualSpacing/>
    </w:pPr>
  </w:style>
  <w:style w:type="character" w:styleId="Hyperlink">
    <w:name w:val="Hyperlink"/>
    <w:basedOn w:val="DefaultParagraphFont"/>
    <w:uiPriority w:val="99"/>
    <w:rsid w:val="006427FE"/>
    <w:rPr>
      <w:noProof w:val="0"/>
      <w:color w:val="E58E1A" w:themeColor="hyperlink"/>
      <w:u w:val="single"/>
      <w:lang w:val="en-AU"/>
    </w:rPr>
  </w:style>
  <w:style w:type="paragraph" w:styleId="Bibliography">
    <w:name w:val="Bibliography"/>
    <w:basedOn w:val="Normal"/>
    <w:next w:val="Normal"/>
    <w:uiPriority w:val="37"/>
    <w:semiHidden/>
    <w:unhideWhenUsed/>
    <w:locked/>
    <w:rsid w:val="00F80750"/>
  </w:style>
  <w:style w:type="paragraph" w:styleId="BlockText">
    <w:name w:val="Block Text"/>
    <w:basedOn w:val="Normal"/>
    <w:uiPriority w:val="99"/>
    <w:semiHidden/>
    <w:unhideWhenUsed/>
    <w:locked/>
    <w:rsid w:val="00F80750"/>
    <w:pPr>
      <w:pBdr>
        <w:top w:val="single" w:sz="2" w:space="10" w:color="00456B" w:themeColor="accent1"/>
        <w:left w:val="single" w:sz="2" w:space="10" w:color="00456B" w:themeColor="accent1"/>
        <w:bottom w:val="single" w:sz="2" w:space="10" w:color="00456B" w:themeColor="accent1"/>
        <w:right w:val="single" w:sz="2" w:space="10" w:color="00456B" w:themeColor="accent1"/>
      </w:pBdr>
      <w:ind w:left="1152" w:right="1152"/>
    </w:pPr>
    <w:rPr>
      <w:rFonts w:asciiTheme="minorHAnsi" w:eastAsiaTheme="minorEastAsia" w:hAnsiTheme="minorHAnsi"/>
      <w:i/>
      <w:iCs/>
      <w:color w:val="00456B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locked/>
    <w:rsid w:val="00F80750"/>
  </w:style>
  <w:style w:type="character" w:customStyle="1" w:styleId="BodyTextChar">
    <w:name w:val="Body Text Char"/>
    <w:basedOn w:val="DefaultParagraphFont"/>
    <w:link w:val="BodyText"/>
    <w:uiPriority w:val="99"/>
    <w:semiHidden/>
    <w:rsid w:val="00F80750"/>
    <w:rPr>
      <w:noProof w:val="0"/>
      <w:lang w:val="en-AU"/>
    </w:rPr>
  </w:style>
  <w:style w:type="paragraph" w:styleId="BodyText2">
    <w:name w:val="Body Text 2"/>
    <w:basedOn w:val="Normal"/>
    <w:link w:val="BodyText2Char"/>
    <w:uiPriority w:val="99"/>
    <w:semiHidden/>
    <w:unhideWhenUsed/>
    <w:locked/>
    <w:rsid w:val="00F8075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80750"/>
    <w:rPr>
      <w:noProof w:val="0"/>
      <w:lang w:val="en-AU"/>
    </w:rPr>
  </w:style>
  <w:style w:type="paragraph" w:styleId="BodyText3">
    <w:name w:val="Body Text 3"/>
    <w:basedOn w:val="Normal"/>
    <w:link w:val="BodyText3Char"/>
    <w:uiPriority w:val="99"/>
    <w:semiHidden/>
    <w:unhideWhenUsed/>
    <w:locked/>
    <w:rsid w:val="00F8075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80750"/>
    <w:rPr>
      <w:noProof w:val="0"/>
      <w:sz w:val="16"/>
      <w:szCs w:val="16"/>
      <w:lang w:val="en-AU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locked/>
    <w:rsid w:val="00F80750"/>
    <w:pPr>
      <w:spacing w:after="17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80750"/>
    <w:rPr>
      <w:noProof w:val="0"/>
      <w:lang w:val="en-AU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locked/>
    <w:rsid w:val="00F80750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80750"/>
    <w:rPr>
      <w:noProof w:val="0"/>
      <w:lang w:val="en-AU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locked/>
    <w:rsid w:val="00F80750"/>
    <w:pPr>
      <w:spacing w:after="17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80750"/>
    <w:rPr>
      <w:noProof w:val="0"/>
      <w:lang w:val="en-AU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locked/>
    <w:rsid w:val="00F80750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80750"/>
    <w:rPr>
      <w:noProof w:val="0"/>
      <w:lang w:val="en-AU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locked/>
    <w:rsid w:val="00F80750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80750"/>
    <w:rPr>
      <w:noProof w:val="0"/>
      <w:sz w:val="16"/>
      <w:szCs w:val="16"/>
      <w:lang w:val="en-AU"/>
    </w:rPr>
  </w:style>
  <w:style w:type="character" w:styleId="BookTitle">
    <w:name w:val="Book Title"/>
    <w:basedOn w:val="DefaultParagraphFont"/>
    <w:uiPriority w:val="33"/>
    <w:semiHidden/>
    <w:qFormat/>
    <w:locked/>
    <w:rsid w:val="00F80750"/>
    <w:rPr>
      <w:b/>
      <w:bCs/>
      <w:smallCaps/>
      <w:noProof w:val="0"/>
      <w:spacing w:val="5"/>
      <w:lang w:val="en-AU"/>
    </w:rPr>
  </w:style>
  <w:style w:type="paragraph" w:styleId="Closing">
    <w:name w:val="Closing"/>
    <w:basedOn w:val="Normal"/>
    <w:link w:val="ClosingChar"/>
    <w:uiPriority w:val="99"/>
    <w:semiHidden/>
    <w:unhideWhenUsed/>
    <w:locked/>
    <w:rsid w:val="00F80750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80750"/>
    <w:rPr>
      <w:noProof w:val="0"/>
      <w:lang w:val="en-AU"/>
    </w:rPr>
  </w:style>
  <w:style w:type="table" w:styleId="ColorfulGrid">
    <w:name w:val="Colorful Grid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EE2FF" w:themeFill="accent1" w:themeFillTint="33"/>
    </w:tcPr>
    <w:tblStylePr w:type="firstRow">
      <w:rPr>
        <w:b/>
        <w:bCs/>
      </w:rPr>
      <w:tblPr/>
      <w:tcPr>
        <w:shd w:val="clear" w:color="auto" w:fill="5DC5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DC5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335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3350" w:themeFill="accent1" w:themeFillShade="BF"/>
      </w:tcPr>
    </w:tblStylePr>
    <w:tblStylePr w:type="band1Vert">
      <w:tblPr/>
      <w:tcPr>
        <w:shd w:val="clear" w:color="auto" w:fill="36B7FF" w:themeFill="accent1" w:themeFillTint="7F"/>
      </w:tcPr>
    </w:tblStylePr>
    <w:tblStylePr w:type="band1Horz">
      <w:tblPr/>
      <w:tcPr>
        <w:shd w:val="clear" w:color="auto" w:fill="36B7FF" w:themeFill="accent1" w:themeFillTint="7F"/>
      </w:tcPr>
    </w:tblStylePr>
  </w:style>
  <w:style w:type="table" w:styleId="ColorfulGrid-Accent2">
    <w:name w:val="Colorful Grid Accent 2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8D1" w:themeFill="accent2" w:themeFillTint="33"/>
    </w:tcPr>
    <w:tblStylePr w:type="firstRow">
      <w:rPr>
        <w:b/>
        <w:bCs/>
      </w:rPr>
      <w:tblPr/>
      <w:tcPr>
        <w:shd w:val="clear" w:color="auto" w:fill="F4D1A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D1A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B691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B6913" w:themeFill="accent2" w:themeFillShade="BF"/>
      </w:tcPr>
    </w:tblStylePr>
    <w:tblStylePr w:type="band1Vert">
      <w:tblPr/>
      <w:tcPr>
        <w:shd w:val="clear" w:color="auto" w:fill="F2C68C" w:themeFill="accent2" w:themeFillTint="7F"/>
      </w:tcPr>
    </w:tblStylePr>
    <w:tblStylePr w:type="band1Horz">
      <w:tblPr/>
      <w:tcPr>
        <w:shd w:val="clear" w:color="auto" w:fill="F2C68C" w:themeFill="accent2" w:themeFillTint="7F"/>
      </w:tcPr>
    </w:tblStylePr>
  </w:style>
  <w:style w:type="table" w:styleId="ColorfulGrid-Accent3">
    <w:name w:val="Colorful Grid Accent 3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2F1" w:themeFill="accent3" w:themeFillTint="33"/>
    </w:tcPr>
    <w:tblStylePr w:type="firstRow">
      <w:rPr>
        <w:b/>
        <w:bCs/>
      </w:rPr>
      <w:tblPr/>
      <w:tcPr>
        <w:shd w:val="clear" w:color="auto" w:fill="EBE6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E6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28F8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28F84" w:themeFill="accent3" w:themeFillShade="BF"/>
      </w:tcPr>
    </w:tblStylePr>
    <w:tblStylePr w:type="band1Vert">
      <w:tblPr/>
      <w:tcPr>
        <w:shd w:val="clear" w:color="auto" w:fill="E6E0DE" w:themeFill="accent3" w:themeFillTint="7F"/>
      </w:tcPr>
    </w:tblStylePr>
    <w:tblStylePr w:type="band1Horz">
      <w:tblPr/>
      <w:tcPr>
        <w:shd w:val="clear" w:color="auto" w:fill="E6E0DE" w:themeFill="accent3" w:themeFillTint="7F"/>
      </w:tcPr>
    </w:tblStylePr>
  </w:style>
  <w:style w:type="table" w:styleId="ColorfulGrid-Accent4">
    <w:name w:val="Colorful Grid Accent 4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3E1" w:themeFill="accent4" w:themeFillTint="33"/>
    </w:tcPr>
    <w:tblStylePr w:type="firstRow">
      <w:rPr>
        <w:b/>
        <w:bCs/>
      </w:rPr>
      <w:tblPr/>
      <w:tcPr>
        <w:shd w:val="clear" w:color="auto" w:fill="E1C8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8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E544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E5449" w:themeFill="accent4" w:themeFillShade="BF"/>
      </w:tcPr>
    </w:tblStylePr>
    <w:tblStylePr w:type="band1Vert">
      <w:tblPr/>
      <w:tcPr>
        <w:shd w:val="clear" w:color="auto" w:fill="D9BBB5" w:themeFill="accent4" w:themeFillTint="7F"/>
      </w:tcPr>
    </w:tblStylePr>
    <w:tblStylePr w:type="band1Horz">
      <w:tblPr/>
      <w:tcPr>
        <w:shd w:val="clear" w:color="auto" w:fill="D9BBB5" w:themeFill="accent4" w:themeFillTint="7F"/>
      </w:tcPr>
    </w:tblStylePr>
  </w:style>
  <w:style w:type="table" w:styleId="ColorfulGrid-Accent5">
    <w:name w:val="Colorful Grid Accent 5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E8ED" w:themeFill="accent5" w:themeFillTint="33"/>
    </w:tcPr>
    <w:tblStylePr w:type="firstRow">
      <w:rPr>
        <w:b/>
        <w:bCs/>
      </w:rPr>
      <w:tblPr/>
      <w:tcPr>
        <w:shd w:val="clear" w:color="auto" w:fill="C4D2D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D2D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E6C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E6C80" w:themeFill="accent5" w:themeFillShade="BF"/>
      </w:tcPr>
    </w:tblStylePr>
    <w:tblStylePr w:type="band1Vert">
      <w:tblPr/>
      <w:tcPr>
        <w:shd w:val="clear" w:color="auto" w:fill="B6C7D2" w:themeFill="accent5" w:themeFillTint="7F"/>
      </w:tcPr>
    </w:tblStylePr>
    <w:tblStylePr w:type="band1Horz">
      <w:tblPr/>
      <w:tcPr>
        <w:shd w:val="clear" w:color="auto" w:fill="B6C7D2" w:themeFill="accent5" w:themeFillTint="7F"/>
      </w:tcPr>
    </w:tblStylePr>
  </w:style>
  <w:style w:type="table" w:styleId="ColorfulGrid-Accent6">
    <w:name w:val="Colorful Grid Accent 6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F0ED" w:themeFill="accent6" w:themeFillTint="33"/>
    </w:tcPr>
    <w:tblStylePr w:type="firstRow">
      <w:rPr>
        <w:b/>
        <w:bCs/>
      </w:rPr>
      <w:tblPr/>
      <w:tcPr>
        <w:shd w:val="clear" w:color="auto" w:fill="DEE1D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E1D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F8D7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F8D78" w:themeFill="accent6" w:themeFillShade="BF"/>
      </w:tcPr>
    </w:tblStylePr>
    <w:tblStylePr w:type="band1Vert">
      <w:tblPr/>
      <w:tcPr>
        <w:shd w:val="clear" w:color="auto" w:fill="D5DAD3" w:themeFill="accent6" w:themeFillTint="7F"/>
      </w:tcPr>
    </w:tblStylePr>
    <w:tblStylePr w:type="band1Horz">
      <w:tblPr/>
      <w:tcPr>
        <w:shd w:val="clear" w:color="auto" w:fill="D5DAD3" w:themeFill="accent6" w:themeFillTint="7F"/>
      </w:tcPr>
    </w:tblStylePr>
  </w:style>
  <w:style w:type="table" w:styleId="ColorfulList">
    <w:name w:val="Colorful List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114" w:themeFill="accent2" w:themeFillShade="CC"/>
      </w:tcPr>
    </w:tblStylePr>
    <w:tblStylePr w:type="lastRow">
      <w:rPr>
        <w:b/>
        <w:bCs/>
        <w:color w:val="B7711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7F0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114" w:themeFill="accent2" w:themeFillShade="CC"/>
      </w:tcPr>
    </w:tblStylePr>
    <w:tblStylePr w:type="lastRow">
      <w:rPr>
        <w:b/>
        <w:bCs/>
        <w:color w:val="B7711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  <w:tblStylePr w:type="band1Horz">
      <w:tblPr/>
      <w:tcPr>
        <w:shd w:val="clear" w:color="auto" w:fill="AEE2FF" w:themeFill="accent1" w:themeFillTint="33"/>
      </w:tcPr>
    </w:tblStylePr>
  </w:style>
  <w:style w:type="table" w:styleId="ColorfulList-Accent2">
    <w:name w:val="Colorful List Accent 2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114" w:themeFill="accent2" w:themeFillShade="CC"/>
      </w:tcPr>
    </w:tblStylePr>
    <w:tblStylePr w:type="lastRow">
      <w:rPr>
        <w:b/>
        <w:bCs/>
        <w:color w:val="B7711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  <w:tblStylePr w:type="band1Horz">
      <w:tblPr/>
      <w:tcPr>
        <w:shd w:val="clear" w:color="auto" w:fill="F9E8D1" w:themeFill="accent2" w:themeFillTint="33"/>
      </w:tcPr>
    </w:tblStylePr>
  </w:style>
  <w:style w:type="table" w:styleId="ColorfulList-Accent3">
    <w:name w:val="Colorful List Accent 3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8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85A4D" w:themeFill="accent4" w:themeFillShade="CC"/>
      </w:tcPr>
    </w:tblStylePr>
    <w:tblStylePr w:type="lastRow">
      <w:rPr>
        <w:b/>
        <w:bCs/>
        <w:color w:val="985A4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  <w:tblStylePr w:type="band1Horz">
      <w:tblPr/>
      <w:tcPr>
        <w:shd w:val="clear" w:color="auto" w:fill="F5F2F1" w:themeFill="accent3" w:themeFillTint="33"/>
      </w:tcPr>
    </w:tblStylePr>
  </w:style>
  <w:style w:type="table" w:styleId="ColorfulList-Accent4">
    <w:name w:val="Colorful List Accent 4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1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B9A90" w:themeFill="accent3" w:themeFillShade="CC"/>
      </w:tcPr>
    </w:tblStylePr>
    <w:tblStylePr w:type="lastRow">
      <w:rPr>
        <w:b/>
        <w:bCs/>
        <w:color w:val="AB9A9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  <w:tblStylePr w:type="band1Horz">
      <w:tblPr/>
      <w:tcPr>
        <w:shd w:val="clear" w:color="auto" w:fill="F0E3E1" w:themeFill="accent4" w:themeFillTint="33"/>
      </w:tcPr>
    </w:tblStylePr>
  </w:style>
  <w:style w:type="table" w:styleId="ColorfulList-Accent5">
    <w:name w:val="Colorful List Accent 5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4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682" w:themeFill="accent6" w:themeFillShade="CC"/>
      </w:tcPr>
    </w:tblStylePr>
    <w:tblStylePr w:type="lastRow">
      <w:rPr>
        <w:b/>
        <w:bCs/>
        <w:color w:val="89968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  <w:tblStylePr w:type="band1Horz">
      <w:tblPr/>
      <w:tcPr>
        <w:shd w:val="clear" w:color="auto" w:fill="E1E8ED" w:themeFill="accent5" w:themeFillTint="33"/>
      </w:tcPr>
    </w:tblStylePr>
  </w:style>
  <w:style w:type="table" w:styleId="ColorfulList-Accent6">
    <w:name w:val="Colorful List Accent 6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7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7388" w:themeFill="accent5" w:themeFillShade="CC"/>
      </w:tcPr>
    </w:tblStylePr>
    <w:tblStylePr w:type="lastRow">
      <w:rPr>
        <w:b/>
        <w:bCs/>
        <w:color w:val="54738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  <w:tblStylePr w:type="band1Horz">
      <w:tblPr/>
      <w:tcPr>
        <w:shd w:val="clear" w:color="auto" w:fill="EEF0ED" w:themeFill="accent6" w:themeFillTint="33"/>
      </w:tcPr>
    </w:tblStylePr>
  </w:style>
  <w:style w:type="table" w:styleId="ColorfulShading">
    <w:name w:val="Colorful Shading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58E1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58E1A" w:themeColor="accent2"/>
        <w:left w:val="single" w:sz="4" w:space="0" w:color="00456B" w:themeColor="accent1"/>
        <w:bottom w:val="single" w:sz="4" w:space="0" w:color="00456B" w:themeColor="accent1"/>
        <w:right w:val="single" w:sz="4" w:space="0" w:color="00456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F0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94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940" w:themeColor="accent1" w:themeShade="99"/>
          <w:insideV w:val="nil"/>
        </w:tcBorders>
        <w:shd w:val="clear" w:color="auto" w:fill="00294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940" w:themeFill="accent1" w:themeFillShade="99"/>
      </w:tcPr>
    </w:tblStylePr>
    <w:tblStylePr w:type="band1Vert">
      <w:tblPr/>
      <w:tcPr>
        <w:shd w:val="clear" w:color="auto" w:fill="5DC5FF" w:themeFill="accent1" w:themeFillTint="66"/>
      </w:tcPr>
    </w:tblStylePr>
    <w:tblStylePr w:type="band1Horz">
      <w:tblPr/>
      <w:tcPr>
        <w:shd w:val="clear" w:color="auto" w:fill="36B7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58E1A" w:themeColor="accent2"/>
        <w:left w:val="single" w:sz="4" w:space="0" w:color="E58E1A" w:themeColor="accent2"/>
        <w:bottom w:val="single" w:sz="4" w:space="0" w:color="E58E1A" w:themeColor="accent2"/>
        <w:right w:val="single" w:sz="4" w:space="0" w:color="E58E1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40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40F" w:themeColor="accent2" w:themeShade="99"/>
          <w:insideV w:val="nil"/>
        </w:tcBorders>
        <w:shd w:val="clear" w:color="auto" w:fill="89540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40F" w:themeFill="accent2" w:themeFillShade="99"/>
      </w:tcPr>
    </w:tblStylePr>
    <w:tblStylePr w:type="band1Vert">
      <w:tblPr/>
      <w:tcPr>
        <w:shd w:val="clear" w:color="auto" w:fill="F4D1A3" w:themeFill="accent2" w:themeFillTint="66"/>
      </w:tcPr>
    </w:tblStylePr>
    <w:tblStylePr w:type="band1Horz">
      <w:tblPr/>
      <w:tcPr>
        <w:shd w:val="clear" w:color="auto" w:fill="F2C68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4786C" w:themeColor="accent4"/>
        <w:left w:val="single" w:sz="4" w:space="0" w:color="CDC3BD" w:themeColor="accent3"/>
        <w:bottom w:val="single" w:sz="4" w:space="0" w:color="CDC3BD" w:themeColor="accent3"/>
        <w:right w:val="single" w:sz="4" w:space="0" w:color="CDC3B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8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786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6726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67266" w:themeColor="accent3" w:themeShade="99"/>
          <w:insideV w:val="nil"/>
        </w:tcBorders>
        <w:shd w:val="clear" w:color="auto" w:fill="86726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7266" w:themeFill="accent3" w:themeFillShade="99"/>
      </w:tcPr>
    </w:tblStylePr>
    <w:tblStylePr w:type="band1Vert">
      <w:tblPr/>
      <w:tcPr>
        <w:shd w:val="clear" w:color="auto" w:fill="EBE6E4" w:themeFill="accent3" w:themeFillTint="66"/>
      </w:tcPr>
    </w:tblStylePr>
    <w:tblStylePr w:type="band1Horz">
      <w:tblPr/>
      <w:tcPr>
        <w:shd w:val="clear" w:color="auto" w:fill="E6E0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DC3BD" w:themeColor="accent3"/>
        <w:left w:val="single" w:sz="4" w:space="0" w:color="B4786C" w:themeColor="accent4"/>
        <w:bottom w:val="single" w:sz="4" w:space="0" w:color="B4786C" w:themeColor="accent4"/>
        <w:right w:val="single" w:sz="4" w:space="0" w:color="B4786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1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DC3B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2433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2433A" w:themeColor="accent4" w:themeShade="99"/>
          <w:insideV w:val="nil"/>
        </w:tcBorders>
        <w:shd w:val="clear" w:color="auto" w:fill="72433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433A" w:themeFill="accent4" w:themeFillShade="99"/>
      </w:tcPr>
    </w:tblStylePr>
    <w:tblStylePr w:type="band1Vert">
      <w:tblPr/>
      <w:tcPr>
        <w:shd w:val="clear" w:color="auto" w:fill="E1C8C4" w:themeFill="accent4" w:themeFillTint="66"/>
      </w:tcPr>
    </w:tblStylePr>
    <w:tblStylePr w:type="band1Horz">
      <w:tblPr/>
      <w:tcPr>
        <w:shd w:val="clear" w:color="auto" w:fill="D9BBB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DB6A8" w:themeColor="accent6"/>
        <w:left w:val="single" w:sz="4" w:space="0" w:color="6E90A6" w:themeColor="accent5"/>
        <w:bottom w:val="single" w:sz="4" w:space="0" w:color="6E90A6" w:themeColor="accent5"/>
        <w:right w:val="single" w:sz="4" w:space="0" w:color="6E90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4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DB6A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566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5666" w:themeColor="accent5" w:themeShade="99"/>
          <w:insideV w:val="nil"/>
        </w:tcBorders>
        <w:shd w:val="clear" w:color="auto" w:fill="3F566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5666" w:themeFill="accent5" w:themeFillShade="99"/>
      </w:tcPr>
    </w:tblStylePr>
    <w:tblStylePr w:type="band1Vert">
      <w:tblPr/>
      <w:tcPr>
        <w:shd w:val="clear" w:color="auto" w:fill="C4D2DB" w:themeFill="accent5" w:themeFillTint="66"/>
      </w:tcPr>
    </w:tblStylePr>
    <w:tblStylePr w:type="band1Horz">
      <w:tblPr/>
      <w:tcPr>
        <w:shd w:val="clear" w:color="auto" w:fill="B6C7D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E90A6" w:themeColor="accent5"/>
        <w:left w:val="single" w:sz="4" w:space="0" w:color="ADB6A8" w:themeColor="accent6"/>
        <w:bottom w:val="single" w:sz="4" w:space="0" w:color="ADB6A8" w:themeColor="accent6"/>
        <w:right w:val="single" w:sz="4" w:space="0" w:color="ADB6A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E90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726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7260" w:themeColor="accent6" w:themeShade="99"/>
          <w:insideV w:val="nil"/>
        </w:tcBorders>
        <w:shd w:val="clear" w:color="auto" w:fill="66726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7260" w:themeFill="accent6" w:themeFillShade="99"/>
      </w:tcPr>
    </w:tblStylePr>
    <w:tblStylePr w:type="band1Vert">
      <w:tblPr/>
      <w:tcPr>
        <w:shd w:val="clear" w:color="auto" w:fill="DEE1DC" w:themeFill="accent6" w:themeFillTint="66"/>
      </w:tcPr>
    </w:tblStylePr>
    <w:tblStylePr w:type="band1Horz">
      <w:tblPr/>
      <w:tcPr>
        <w:shd w:val="clear" w:color="auto" w:fill="D5DAD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locked/>
    <w:rsid w:val="00F80750"/>
    <w:rPr>
      <w:noProof w:val="0"/>
      <w:sz w:val="16"/>
      <w:szCs w:val="16"/>
      <w:lang w:val="en-AU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F807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0750"/>
    <w:rPr>
      <w:noProof w:val="0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F807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0750"/>
    <w:rPr>
      <w:b/>
      <w:bCs/>
      <w:noProof w:val="0"/>
      <w:sz w:val="20"/>
      <w:szCs w:val="20"/>
      <w:lang w:val="en-AU"/>
    </w:rPr>
  </w:style>
  <w:style w:type="table" w:styleId="DarkList">
    <w:name w:val="Dark List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456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23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35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35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35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350" w:themeFill="accent1" w:themeFillShade="BF"/>
      </w:tcPr>
    </w:tblStylePr>
  </w:style>
  <w:style w:type="table" w:styleId="DarkList-Accent2">
    <w:name w:val="Dark List Accent 2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58E1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60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691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691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691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6913" w:themeFill="accent2" w:themeFillShade="BF"/>
      </w:tcPr>
    </w:tblStylePr>
  </w:style>
  <w:style w:type="table" w:styleId="DarkList-Accent3">
    <w:name w:val="Dark List Accent 3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DC3B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F5E54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28F8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28F8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8F8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8F84" w:themeFill="accent3" w:themeFillShade="BF"/>
      </w:tcPr>
    </w:tblStylePr>
  </w:style>
  <w:style w:type="table" w:styleId="DarkList-Accent4">
    <w:name w:val="Dark List Accent 4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4786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38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544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544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544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5449" w:themeFill="accent4" w:themeFillShade="BF"/>
      </w:tcPr>
    </w:tblStylePr>
  </w:style>
  <w:style w:type="table" w:styleId="DarkList-Accent5">
    <w:name w:val="Dark List Accent 5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E90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48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6C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6C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C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C80" w:themeFill="accent5" w:themeFillShade="BF"/>
      </w:tcPr>
    </w:tblStylePr>
  </w:style>
  <w:style w:type="table" w:styleId="DarkList-Accent6">
    <w:name w:val="Dark List Accent 6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DB6A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45E4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F8D7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F8D7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D7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D78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locked/>
    <w:rsid w:val="00F80750"/>
  </w:style>
  <w:style w:type="character" w:customStyle="1" w:styleId="DateChar">
    <w:name w:val="Date Char"/>
    <w:basedOn w:val="DefaultParagraphFont"/>
    <w:link w:val="Date"/>
    <w:uiPriority w:val="99"/>
    <w:semiHidden/>
    <w:rsid w:val="00F80750"/>
    <w:rPr>
      <w:noProof w:val="0"/>
      <w:lang w:val="en-AU"/>
    </w:rPr>
  </w:style>
  <w:style w:type="paragraph" w:styleId="DocumentMap">
    <w:name w:val="Document Map"/>
    <w:basedOn w:val="Normal"/>
    <w:link w:val="DocumentMapChar"/>
    <w:uiPriority w:val="99"/>
    <w:semiHidden/>
    <w:unhideWhenUsed/>
    <w:locked/>
    <w:rsid w:val="00F8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80750"/>
    <w:rPr>
      <w:rFonts w:ascii="Tahoma" w:hAnsi="Tahoma" w:cs="Tahoma"/>
      <w:noProof w:val="0"/>
      <w:sz w:val="16"/>
      <w:szCs w:val="16"/>
      <w:lang w:val="en-AU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locked/>
    <w:rsid w:val="00F8075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80750"/>
    <w:rPr>
      <w:noProof w:val="0"/>
      <w:lang w:val="en-AU"/>
    </w:rPr>
  </w:style>
  <w:style w:type="character" w:styleId="Emphasis">
    <w:name w:val="Emphasis"/>
    <w:basedOn w:val="DefaultParagraphFont"/>
    <w:uiPriority w:val="20"/>
    <w:semiHidden/>
    <w:qFormat/>
    <w:locked/>
    <w:rsid w:val="00F80750"/>
    <w:rPr>
      <w:i/>
      <w:iCs/>
      <w:noProof w:val="0"/>
      <w:lang w:val="en-AU"/>
    </w:rPr>
  </w:style>
  <w:style w:type="character" w:styleId="EndnoteReference">
    <w:name w:val="endnote reference"/>
    <w:basedOn w:val="DefaultParagraphFont"/>
    <w:uiPriority w:val="99"/>
    <w:rsid w:val="00F80750"/>
    <w:rPr>
      <w:noProof w:val="0"/>
      <w:vertAlign w:val="superscript"/>
      <w:lang w:val="en-AU"/>
    </w:rPr>
  </w:style>
  <w:style w:type="paragraph" w:styleId="EndnoteText">
    <w:name w:val="endnote text"/>
    <w:basedOn w:val="Normal"/>
    <w:link w:val="EndnoteTextChar"/>
    <w:uiPriority w:val="99"/>
    <w:rsid w:val="00F8075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F80750"/>
    <w:rPr>
      <w:noProof w:val="0"/>
      <w:sz w:val="20"/>
      <w:szCs w:val="20"/>
      <w:lang w:val="en-AU"/>
    </w:rPr>
  </w:style>
  <w:style w:type="paragraph" w:styleId="EnvelopeAddress">
    <w:name w:val="envelope address"/>
    <w:basedOn w:val="Normal"/>
    <w:uiPriority w:val="99"/>
    <w:semiHidden/>
    <w:unhideWhenUsed/>
    <w:locked/>
    <w:rsid w:val="00F8075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rsid w:val="00F80750"/>
    <w:rPr>
      <w:noProof w:val="0"/>
      <w:color w:val="00456B" w:themeColor="followedHyperlink"/>
      <w:u w:val="single"/>
      <w:lang w:val="en-AU"/>
    </w:rPr>
  </w:style>
  <w:style w:type="character" w:styleId="FootnoteReference">
    <w:name w:val="footnote reference"/>
    <w:basedOn w:val="DefaultParagraphFont"/>
    <w:uiPriority w:val="99"/>
    <w:rsid w:val="00F80750"/>
    <w:rPr>
      <w:noProof w:val="0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rsid w:val="00F807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80750"/>
    <w:rPr>
      <w:noProof w:val="0"/>
      <w:sz w:val="20"/>
      <w:szCs w:val="20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rsid w:val="00B41D8E"/>
    <w:rPr>
      <w:rFonts w:asciiTheme="majorHAnsi" w:eastAsiaTheme="majorEastAsia" w:hAnsiTheme="majorHAnsi" w:cstheme="majorBidi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74D"/>
    <w:rPr>
      <w:rFonts w:asciiTheme="majorHAnsi" w:eastAsiaTheme="majorEastAsia" w:hAnsiTheme="majorHAnsi" w:cstheme="majorBidi"/>
      <w:i/>
      <w:iCs/>
      <w:color w:val="002235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7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74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74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HTMLAcronym">
    <w:name w:val="HTML Acronym"/>
    <w:basedOn w:val="DefaultParagraphFont"/>
    <w:uiPriority w:val="99"/>
    <w:semiHidden/>
    <w:unhideWhenUsed/>
    <w:locked/>
    <w:rsid w:val="00F80750"/>
    <w:rPr>
      <w:noProof w:val="0"/>
      <w:lang w:val="en-AU"/>
    </w:rPr>
  </w:style>
  <w:style w:type="paragraph" w:styleId="HTMLAddress">
    <w:name w:val="HTML Address"/>
    <w:basedOn w:val="Normal"/>
    <w:link w:val="HTMLAddressChar"/>
    <w:uiPriority w:val="99"/>
    <w:semiHidden/>
    <w:unhideWhenUsed/>
    <w:locked/>
    <w:rsid w:val="00F8075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80750"/>
    <w:rPr>
      <w:i/>
      <w:iCs/>
      <w:noProof w:val="0"/>
      <w:lang w:val="en-AU"/>
    </w:rPr>
  </w:style>
  <w:style w:type="character" w:styleId="HTMLCite">
    <w:name w:val="HTML Cite"/>
    <w:basedOn w:val="DefaultParagraphFont"/>
    <w:uiPriority w:val="99"/>
    <w:semiHidden/>
    <w:unhideWhenUsed/>
    <w:locked/>
    <w:rsid w:val="00F80750"/>
    <w:rPr>
      <w:i/>
      <w:iCs/>
      <w:noProof w:val="0"/>
      <w:lang w:val="en-AU"/>
    </w:rPr>
  </w:style>
  <w:style w:type="character" w:styleId="HTMLCode">
    <w:name w:val="HTML Code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Definition">
    <w:name w:val="HTML Definition"/>
    <w:basedOn w:val="DefaultParagraphFont"/>
    <w:uiPriority w:val="99"/>
    <w:semiHidden/>
    <w:unhideWhenUsed/>
    <w:locked/>
    <w:rsid w:val="00F80750"/>
    <w:rPr>
      <w:i/>
      <w:iCs/>
      <w:noProof w:val="0"/>
      <w:lang w:val="en-AU"/>
    </w:rPr>
  </w:style>
  <w:style w:type="character" w:styleId="HTMLKeyboard">
    <w:name w:val="HTML Keyboard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0"/>
      <w:szCs w:val="20"/>
      <w:lang w:val="en-AU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locked/>
    <w:rsid w:val="00F8075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Sample">
    <w:name w:val="HTML Sample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4"/>
      <w:szCs w:val="24"/>
      <w:lang w:val="en-AU"/>
    </w:rPr>
  </w:style>
  <w:style w:type="character" w:styleId="HTMLTypewriter">
    <w:name w:val="HTML Typewriter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Variable">
    <w:name w:val="HTML Variable"/>
    <w:basedOn w:val="DefaultParagraphFont"/>
    <w:uiPriority w:val="99"/>
    <w:semiHidden/>
    <w:unhideWhenUsed/>
    <w:locked/>
    <w:rsid w:val="00F80750"/>
    <w:rPr>
      <w:i/>
      <w:iCs/>
      <w:noProof w:val="0"/>
      <w:lang w:val="en-AU"/>
    </w:rPr>
  </w:style>
  <w:style w:type="paragraph" w:styleId="Index1">
    <w:name w:val="index 1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90" w:hanging="190"/>
    </w:pPr>
  </w:style>
  <w:style w:type="paragraph" w:styleId="Index2">
    <w:name w:val="index 2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380" w:hanging="190"/>
    </w:pPr>
  </w:style>
  <w:style w:type="paragraph" w:styleId="Index3">
    <w:name w:val="index 3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570" w:hanging="190"/>
    </w:pPr>
  </w:style>
  <w:style w:type="paragraph" w:styleId="Index4">
    <w:name w:val="index 4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760" w:hanging="190"/>
    </w:pPr>
  </w:style>
  <w:style w:type="paragraph" w:styleId="Index5">
    <w:name w:val="index 5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950" w:hanging="190"/>
    </w:pPr>
  </w:style>
  <w:style w:type="paragraph" w:styleId="Index6">
    <w:name w:val="index 6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140" w:hanging="190"/>
    </w:pPr>
  </w:style>
  <w:style w:type="paragraph" w:styleId="Index7">
    <w:name w:val="index 7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330" w:hanging="190"/>
    </w:pPr>
  </w:style>
  <w:style w:type="paragraph" w:styleId="Index8">
    <w:name w:val="index 8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520" w:hanging="190"/>
    </w:pPr>
  </w:style>
  <w:style w:type="paragraph" w:styleId="Index9">
    <w:name w:val="index 9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710" w:hanging="190"/>
    </w:pPr>
  </w:style>
  <w:style w:type="paragraph" w:styleId="IndexHeading">
    <w:name w:val="index heading"/>
    <w:basedOn w:val="Normal"/>
    <w:next w:val="Index1"/>
    <w:uiPriority w:val="99"/>
    <w:semiHidden/>
    <w:unhideWhenUsed/>
    <w:locked/>
    <w:rsid w:val="00F80750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locked/>
    <w:rsid w:val="00F80750"/>
    <w:rPr>
      <w:b/>
      <w:bCs/>
      <w:i/>
      <w:iCs/>
      <w:noProof w:val="0"/>
      <w:color w:val="00456B" w:themeColor="accent1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locked/>
    <w:rsid w:val="00F80750"/>
    <w:pPr>
      <w:pBdr>
        <w:bottom w:val="single" w:sz="4" w:space="4" w:color="00456B" w:themeColor="accent1"/>
      </w:pBdr>
      <w:spacing w:before="200" w:after="280"/>
      <w:ind w:left="936" w:right="936"/>
    </w:pPr>
    <w:rPr>
      <w:b/>
      <w:bCs/>
      <w:i/>
      <w:iCs/>
      <w:color w:val="00456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80750"/>
    <w:rPr>
      <w:b/>
      <w:bCs/>
      <w:i/>
      <w:iCs/>
      <w:noProof w:val="0"/>
      <w:color w:val="00456B" w:themeColor="accent1"/>
      <w:lang w:val="en-AU"/>
    </w:rPr>
  </w:style>
  <w:style w:type="character" w:styleId="IntenseReference">
    <w:name w:val="Intense Reference"/>
    <w:basedOn w:val="DefaultParagraphFont"/>
    <w:uiPriority w:val="32"/>
    <w:semiHidden/>
    <w:qFormat/>
    <w:locked/>
    <w:rsid w:val="00F80750"/>
    <w:rPr>
      <w:b/>
      <w:bCs/>
      <w:smallCaps/>
      <w:noProof w:val="0"/>
      <w:color w:val="E58E1A" w:themeColor="accent2"/>
      <w:spacing w:val="5"/>
      <w:u w:val="single"/>
      <w:lang w:val="en-AU"/>
    </w:rPr>
  </w:style>
  <w:style w:type="table" w:styleId="LightGrid">
    <w:name w:val="Light Grid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  <w:insideH w:val="single" w:sz="8" w:space="0" w:color="00456B" w:themeColor="accent1"/>
        <w:insideV w:val="single" w:sz="8" w:space="0" w:color="00456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18" w:space="0" w:color="00456B" w:themeColor="accent1"/>
          <w:right w:val="single" w:sz="8" w:space="0" w:color="00456B" w:themeColor="accent1"/>
          <w:insideH w:val="nil"/>
          <w:insideV w:val="single" w:sz="8" w:space="0" w:color="00456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  <w:insideH w:val="nil"/>
          <w:insideV w:val="single" w:sz="8" w:space="0" w:color="00456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  <w:tblStylePr w:type="band1Vert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  <w:shd w:val="clear" w:color="auto" w:fill="9BDBFF" w:themeFill="accent1" w:themeFillTint="3F"/>
      </w:tcPr>
    </w:tblStylePr>
    <w:tblStylePr w:type="band1Horz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  <w:insideV w:val="single" w:sz="8" w:space="0" w:color="00456B" w:themeColor="accent1"/>
        </w:tcBorders>
        <w:shd w:val="clear" w:color="auto" w:fill="9BDBFF" w:themeFill="accent1" w:themeFillTint="3F"/>
      </w:tcPr>
    </w:tblStylePr>
    <w:tblStylePr w:type="band2Horz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  <w:insideV w:val="single" w:sz="8" w:space="0" w:color="00456B" w:themeColor="accent1"/>
        </w:tcBorders>
      </w:tcPr>
    </w:tblStylePr>
  </w:style>
  <w:style w:type="table" w:styleId="LightGrid-Accent2">
    <w:name w:val="Light Grid Accent 2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  <w:insideH w:val="single" w:sz="8" w:space="0" w:color="E58E1A" w:themeColor="accent2"/>
        <w:insideV w:val="single" w:sz="8" w:space="0" w:color="E58E1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18" w:space="0" w:color="E58E1A" w:themeColor="accent2"/>
          <w:right w:val="single" w:sz="8" w:space="0" w:color="E58E1A" w:themeColor="accent2"/>
          <w:insideH w:val="nil"/>
          <w:insideV w:val="single" w:sz="8" w:space="0" w:color="E58E1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  <w:insideH w:val="nil"/>
          <w:insideV w:val="single" w:sz="8" w:space="0" w:color="E58E1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  <w:tblStylePr w:type="band1Vert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  <w:shd w:val="clear" w:color="auto" w:fill="F8E2C6" w:themeFill="accent2" w:themeFillTint="3F"/>
      </w:tcPr>
    </w:tblStylePr>
    <w:tblStylePr w:type="band1Horz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  <w:insideV w:val="single" w:sz="8" w:space="0" w:color="E58E1A" w:themeColor="accent2"/>
        </w:tcBorders>
        <w:shd w:val="clear" w:color="auto" w:fill="F8E2C6" w:themeFill="accent2" w:themeFillTint="3F"/>
      </w:tcPr>
    </w:tblStylePr>
    <w:tblStylePr w:type="band2Horz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  <w:insideV w:val="single" w:sz="8" w:space="0" w:color="E58E1A" w:themeColor="accent2"/>
        </w:tcBorders>
      </w:tcPr>
    </w:tblStylePr>
  </w:style>
  <w:style w:type="table" w:styleId="LightGrid-Accent3">
    <w:name w:val="Light Grid Accent 3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  <w:insideH w:val="single" w:sz="8" w:space="0" w:color="CDC3BD" w:themeColor="accent3"/>
        <w:insideV w:val="single" w:sz="8" w:space="0" w:color="CDC3B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18" w:space="0" w:color="CDC3BD" w:themeColor="accent3"/>
          <w:right w:val="single" w:sz="8" w:space="0" w:color="CDC3BD" w:themeColor="accent3"/>
          <w:insideH w:val="nil"/>
          <w:insideV w:val="single" w:sz="8" w:space="0" w:color="CDC3B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  <w:insideH w:val="nil"/>
          <w:insideV w:val="single" w:sz="8" w:space="0" w:color="CDC3B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  <w:tblStylePr w:type="band1Vert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  <w:shd w:val="clear" w:color="auto" w:fill="F2F0EE" w:themeFill="accent3" w:themeFillTint="3F"/>
      </w:tcPr>
    </w:tblStylePr>
    <w:tblStylePr w:type="band1Horz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  <w:insideV w:val="single" w:sz="8" w:space="0" w:color="CDC3BD" w:themeColor="accent3"/>
        </w:tcBorders>
        <w:shd w:val="clear" w:color="auto" w:fill="F2F0EE" w:themeFill="accent3" w:themeFillTint="3F"/>
      </w:tcPr>
    </w:tblStylePr>
    <w:tblStylePr w:type="band2Horz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  <w:insideV w:val="single" w:sz="8" w:space="0" w:color="CDC3BD" w:themeColor="accent3"/>
        </w:tcBorders>
      </w:tcPr>
    </w:tblStylePr>
  </w:style>
  <w:style w:type="table" w:styleId="LightGrid-Accent4">
    <w:name w:val="Light Grid Accent 4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  <w:insideH w:val="single" w:sz="8" w:space="0" w:color="B4786C" w:themeColor="accent4"/>
        <w:insideV w:val="single" w:sz="8" w:space="0" w:color="B4786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18" w:space="0" w:color="B4786C" w:themeColor="accent4"/>
          <w:right w:val="single" w:sz="8" w:space="0" w:color="B4786C" w:themeColor="accent4"/>
          <w:insideH w:val="nil"/>
          <w:insideV w:val="single" w:sz="8" w:space="0" w:color="B4786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  <w:insideH w:val="nil"/>
          <w:insideV w:val="single" w:sz="8" w:space="0" w:color="B4786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  <w:tblStylePr w:type="band1Vert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  <w:shd w:val="clear" w:color="auto" w:fill="ECDDDA" w:themeFill="accent4" w:themeFillTint="3F"/>
      </w:tcPr>
    </w:tblStylePr>
    <w:tblStylePr w:type="band1Horz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  <w:insideV w:val="single" w:sz="8" w:space="0" w:color="B4786C" w:themeColor="accent4"/>
        </w:tcBorders>
        <w:shd w:val="clear" w:color="auto" w:fill="ECDDDA" w:themeFill="accent4" w:themeFillTint="3F"/>
      </w:tcPr>
    </w:tblStylePr>
    <w:tblStylePr w:type="band2Horz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  <w:insideV w:val="single" w:sz="8" w:space="0" w:color="B4786C" w:themeColor="accent4"/>
        </w:tcBorders>
      </w:tcPr>
    </w:tblStylePr>
  </w:style>
  <w:style w:type="table" w:styleId="LightGrid-Accent5">
    <w:name w:val="Light Grid Accent 5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  <w:insideH w:val="single" w:sz="8" w:space="0" w:color="6E90A6" w:themeColor="accent5"/>
        <w:insideV w:val="single" w:sz="8" w:space="0" w:color="6E90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18" w:space="0" w:color="6E90A6" w:themeColor="accent5"/>
          <w:right w:val="single" w:sz="8" w:space="0" w:color="6E90A6" w:themeColor="accent5"/>
          <w:insideH w:val="nil"/>
          <w:insideV w:val="single" w:sz="8" w:space="0" w:color="6E90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  <w:insideH w:val="nil"/>
          <w:insideV w:val="single" w:sz="8" w:space="0" w:color="6E90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  <w:tblStylePr w:type="band1Vert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  <w:shd w:val="clear" w:color="auto" w:fill="DBE3E9" w:themeFill="accent5" w:themeFillTint="3F"/>
      </w:tcPr>
    </w:tblStylePr>
    <w:tblStylePr w:type="band1Horz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  <w:insideV w:val="single" w:sz="8" w:space="0" w:color="6E90A6" w:themeColor="accent5"/>
        </w:tcBorders>
        <w:shd w:val="clear" w:color="auto" w:fill="DBE3E9" w:themeFill="accent5" w:themeFillTint="3F"/>
      </w:tcPr>
    </w:tblStylePr>
    <w:tblStylePr w:type="band2Horz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  <w:insideV w:val="single" w:sz="8" w:space="0" w:color="6E90A6" w:themeColor="accent5"/>
        </w:tcBorders>
      </w:tcPr>
    </w:tblStylePr>
  </w:style>
  <w:style w:type="table" w:styleId="LightGrid-Accent6">
    <w:name w:val="Light Grid Accent 6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  <w:insideH w:val="single" w:sz="8" w:space="0" w:color="ADB6A8" w:themeColor="accent6"/>
        <w:insideV w:val="single" w:sz="8" w:space="0" w:color="ADB6A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18" w:space="0" w:color="ADB6A8" w:themeColor="accent6"/>
          <w:right w:val="single" w:sz="8" w:space="0" w:color="ADB6A8" w:themeColor="accent6"/>
          <w:insideH w:val="nil"/>
          <w:insideV w:val="single" w:sz="8" w:space="0" w:color="ADB6A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  <w:insideH w:val="nil"/>
          <w:insideV w:val="single" w:sz="8" w:space="0" w:color="ADB6A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  <w:tblStylePr w:type="band1Vert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  <w:shd w:val="clear" w:color="auto" w:fill="EAEDE9" w:themeFill="accent6" w:themeFillTint="3F"/>
      </w:tcPr>
    </w:tblStylePr>
    <w:tblStylePr w:type="band1Horz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  <w:insideV w:val="single" w:sz="8" w:space="0" w:color="ADB6A8" w:themeColor="accent6"/>
        </w:tcBorders>
        <w:shd w:val="clear" w:color="auto" w:fill="EAEDE9" w:themeFill="accent6" w:themeFillTint="3F"/>
      </w:tcPr>
    </w:tblStylePr>
    <w:tblStylePr w:type="band2Horz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  <w:insideV w:val="single" w:sz="8" w:space="0" w:color="ADB6A8" w:themeColor="accent6"/>
        </w:tcBorders>
      </w:tcPr>
    </w:tblStylePr>
  </w:style>
  <w:style w:type="table" w:styleId="LightList">
    <w:name w:val="Light List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56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  <w:tblStylePr w:type="band1Horz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</w:style>
  <w:style w:type="table" w:styleId="LightList-Accent2">
    <w:name w:val="Light List Accent 2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58E1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  <w:tblStylePr w:type="band1Horz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</w:style>
  <w:style w:type="table" w:styleId="LightList-Accent3">
    <w:name w:val="Light List Accent 3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DC3B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  <w:tblStylePr w:type="band1Horz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</w:style>
  <w:style w:type="table" w:styleId="LightList-Accent4">
    <w:name w:val="Light List Accent 4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786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  <w:tblStylePr w:type="band1Horz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</w:style>
  <w:style w:type="table" w:styleId="LightList-Accent5">
    <w:name w:val="Light List Accent 5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E90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  <w:tblStylePr w:type="band1Horz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</w:style>
  <w:style w:type="table" w:styleId="LightList-Accent6">
    <w:name w:val="Light List Accent 6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B6A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  <w:tblStylePr w:type="band1Horz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</w:style>
  <w:style w:type="table" w:styleId="LightShading">
    <w:name w:val="Light Shading"/>
    <w:basedOn w:val="TableNormal"/>
    <w:uiPriority w:val="60"/>
    <w:locked/>
    <w:rsid w:val="00F8075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F80750"/>
    <w:pPr>
      <w:spacing w:after="0" w:line="240" w:lineRule="auto"/>
    </w:pPr>
    <w:rPr>
      <w:color w:val="003350" w:themeColor="accent1" w:themeShade="BF"/>
    </w:rPr>
    <w:tblPr>
      <w:tblStyleRowBandSize w:val="1"/>
      <w:tblStyleColBandSize w:val="1"/>
      <w:tblBorders>
        <w:top w:val="single" w:sz="8" w:space="0" w:color="00456B" w:themeColor="accent1"/>
        <w:bottom w:val="single" w:sz="8" w:space="0" w:color="00456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56B" w:themeColor="accent1"/>
          <w:left w:val="nil"/>
          <w:bottom w:val="single" w:sz="8" w:space="0" w:color="00456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56B" w:themeColor="accent1"/>
          <w:left w:val="nil"/>
          <w:bottom w:val="single" w:sz="8" w:space="0" w:color="00456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</w:style>
  <w:style w:type="table" w:styleId="LightShading-Accent2">
    <w:name w:val="Light Shading Accent 2"/>
    <w:basedOn w:val="TableNormal"/>
    <w:uiPriority w:val="60"/>
    <w:locked/>
    <w:rsid w:val="00F80750"/>
    <w:pPr>
      <w:spacing w:after="0" w:line="240" w:lineRule="auto"/>
    </w:pPr>
    <w:rPr>
      <w:color w:val="AB6913" w:themeColor="accent2" w:themeShade="BF"/>
    </w:rPr>
    <w:tblPr>
      <w:tblStyleRowBandSize w:val="1"/>
      <w:tblStyleColBandSize w:val="1"/>
      <w:tblBorders>
        <w:top w:val="single" w:sz="8" w:space="0" w:color="E58E1A" w:themeColor="accent2"/>
        <w:bottom w:val="single" w:sz="8" w:space="0" w:color="E58E1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8E1A" w:themeColor="accent2"/>
          <w:left w:val="nil"/>
          <w:bottom w:val="single" w:sz="8" w:space="0" w:color="E58E1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8E1A" w:themeColor="accent2"/>
          <w:left w:val="nil"/>
          <w:bottom w:val="single" w:sz="8" w:space="0" w:color="E58E1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</w:style>
  <w:style w:type="table" w:styleId="LightShading-Accent3">
    <w:name w:val="Light Shading Accent 3"/>
    <w:basedOn w:val="TableNormal"/>
    <w:uiPriority w:val="60"/>
    <w:locked/>
    <w:rsid w:val="00F80750"/>
    <w:pPr>
      <w:spacing w:after="0" w:line="240" w:lineRule="auto"/>
    </w:pPr>
    <w:rPr>
      <w:color w:val="A28F84" w:themeColor="accent3" w:themeShade="BF"/>
    </w:rPr>
    <w:tblPr>
      <w:tblStyleRowBandSize w:val="1"/>
      <w:tblStyleColBandSize w:val="1"/>
      <w:tblBorders>
        <w:top w:val="single" w:sz="8" w:space="0" w:color="CDC3BD" w:themeColor="accent3"/>
        <w:bottom w:val="single" w:sz="8" w:space="0" w:color="CDC3B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DC3BD" w:themeColor="accent3"/>
          <w:left w:val="nil"/>
          <w:bottom w:val="single" w:sz="8" w:space="0" w:color="CDC3B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DC3BD" w:themeColor="accent3"/>
          <w:left w:val="nil"/>
          <w:bottom w:val="single" w:sz="8" w:space="0" w:color="CDC3B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</w:style>
  <w:style w:type="table" w:styleId="LightShading-Accent4">
    <w:name w:val="Light Shading Accent 4"/>
    <w:basedOn w:val="TableNormal"/>
    <w:uiPriority w:val="60"/>
    <w:locked/>
    <w:rsid w:val="00F80750"/>
    <w:pPr>
      <w:spacing w:after="0" w:line="240" w:lineRule="auto"/>
    </w:pPr>
    <w:rPr>
      <w:color w:val="8E5449" w:themeColor="accent4" w:themeShade="BF"/>
    </w:rPr>
    <w:tblPr>
      <w:tblStyleRowBandSize w:val="1"/>
      <w:tblStyleColBandSize w:val="1"/>
      <w:tblBorders>
        <w:top w:val="single" w:sz="8" w:space="0" w:color="B4786C" w:themeColor="accent4"/>
        <w:bottom w:val="single" w:sz="8" w:space="0" w:color="B4786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786C" w:themeColor="accent4"/>
          <w:left w:val="nil"/>
          <w:bottom w:val="single" w:sz="8" w:space="0" w:color="B4786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786C" w:themeColor="accent4"/>
          <w:left w:val="nil"/>
          <w:bottom w:val="single" w:sz="8" w:space="0" w:color="B4786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</w:style>
  <w:style w:type="table" w:styleId="LightShading-Accent5">
    <w:name w:val="Light Shading Accent 5"/>
    <w:basedOn w:val="TableNormal"/>
    <w:uiPriority w:val="60"/>
    <w:locked/>
    <w:rsid w:val="00F80750"/>
    <w:pPr>
      <w:spacing w:after="0" w:line="240" w:lineRule="auto"/>
    </w:pPr>
    <w:rPr>
      <w:color w:val="4E6C80" w:themeColor="accent5" w:themeShade="BF"/>
    </w:rPr>
    <w:tblPr>
      <w:tblStyleRowBandSize w:val="1"/>
      <w:tblStyleColBandSize w:val="1"/>
      <w:tblBorders>
        <w:top w:val="single" w:sz="8" w:space="0" w:color="6E90A6" w:themeColor="accent5"/>
        <w:bottom w:val="single" w:sz="8" w:space="0" w:color="6E90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90A6" w:themeColor="accent5"/>
          <w:left w:val="nil"/>
          <w:bottom w:val="single" w:sz="8" w:space="0" w:color="6E90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90A6" w:themeColor="accent5"/>
          <w:left w:val="nil"/>
          <w:bottom w:val="single" w:sz="8" w:space="0" w:color="6E90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</w:style>
  <w:style w:type="table" w:styleId="LightShading-Accent6">
    <w:name w:val="Light Shading Accent 6"/>
    <w:basedOn w:val="TableNormal"/>
    <w:uiPriority w:val="60"/>
    <w:locked/>
    <w:rsid w:val="00F80750"/>
    <w:pPr>
      <w:spacing w:after="0" w:line="240" w:lineRule="auto"/>
    </w:pPr>
    <w:rPr>
      <w:color w:val="7F8D78" w:themeColor="accent6" w:themeShade="BF"/>
    </w:rPr>
    <w:tblPr>
      <w:tblStyleRowBandSize w:val="1"/>
      <w:tblStyleColBandSize w:val="1"/>
      <w:tblBorders>
        <w:top w:val="single" w:sz="8" w:space="0" w:color="ADB6A8" w:themeColor="accent6"/>
        <w:bottom w:val="single" w:sz="8" w:space="0" w:color="ADB6A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B6A8" w:themeColor="accent6"/>
          <w:left w:val="nil"/>
          <w:bottom w:val="single" w:sz="8" w:space="0" w:color="ADB6A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B6A8" w:themeColor="accent6"/>
          <w:left w:val="nil"/>
          <w:bottom w:val="single" w:sz="8" w:space="0" w:color="ADB6A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locked/>
    <w:rsid w:val="00F80750"/>
    <w:rPr>
      <w:noProof w:val="0"/>
      <w:lang w:val="en-AU"/>
    </w:rPr>
  </w:style>
  <w:style w:type="paragraph" w:styleId="List">
    <w:name w:val="List"/>
    <w:basedOn w:val="Normal"/>
    <w:uiPriority w:val="99"/>
    <w:semiHidden/>
    <w:unhideWhenUsed/>
    <w:locked/>
    <w:rsid w:val="00F80750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locked/>
    <w:rsid w:val="00F80750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locked/>
    <w:rsid w:val="00F80750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locked/>
    <w:rsid w:val="00F80750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locked/>
    <w:rsid w:val="00F80750"/>
    <w:pPr>
      <w:ind w:left="1415" w:hanging="283"/>
      <w:contextualSpacing/>
    </w:pPr>
  </w:style>
  <w:style w:type="paragraph" w:styleId="ListBullet5">
    <w:name w:val="List Bullet 5"/>
    <w:basedOn w:val="Normal"/>
    <w:uiPriority w:val="99"/>
    <w:semiHidden/>
    <w:locked/>
    <w:rsid w:val="00F80750"/>
    <w:pPr>
      <w:numPr>
        <w:numId w:val="21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locked/>
    <w:rsid w:val="00F80750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locked/>
    <w:rsid w:val="00F80750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locked/>
    <w:rsid w:val="00F80750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locked/>
    <w:rsid w:val="00F80750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locked/>
    <w:rsid w:val="00F80750"/>
    <w:pPr>
      <w:ind w:left="1415"/>
      <w:contextualSpacing/>
    </w:pPr>
  </w:style>
  <w:style w:type="paragraph" w:styleId="ListNumber5">
    <w:name w:val="List Number 5"/>
    <w:basedOn w:val="Normal"/>
    <w:uiPriority w:val="99"/>
    <w:semiHidden/>
    <w:locked/>
    <w:rsid w:val="00F80750"/>
    <w:pPr>
      <w:numPr>
        <w:numId w:val="22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F80750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locked/>
    <w:rsid w:val="00F8075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80750"/>
    <w:rPr>
      <w:rFonts w:ascii="Consolas" w:hAnsi="Consolas"/>
      <w:noProof w:val="0"/>
      <w:sz w:val="20"/>
      <w:szCs w:val="20"/>
      <w:lang w:val="en-AU"/>
    </w:rPr>
  </w:style>
  <w:style w:type="table" w:styleId="MediumGrid1">
    <w:name w:val="Medium Grid 1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85D0" w:themeColor="accent1" w:themeTint="BF"/>
        <w:left w:val="single" w:sz="8" w:space="0" w:color="0085D0" w:themeColor="accent1" w:themeTint="BF"/>
        <w:bottom w:val="single" w:sz="8" w:space="0" w:color="0085D0" w:themeColor="accent1" w:themeTint="BF"/>
        <w:right w:val="single" w:sz="8" w:space="0" w:color="0085D0" w:themeColor="accent1" w:themeTint="BF"/>
        <w:insideH w:val="single" w:sz="8" w:space="0" w:color="0085D0" w:themeColor="accent1" w:themeTint="BF"/>
        <w:insideV w:val="single" w:sz="8" w:space="0" w:color="0085D0" w:themeColor="accent1" w:themeTint="BF"/>
      </w:tblBorders>
    </w:tblPr>
    <w:tcPr>
      <w:shd w:val="clear" w:color="auto" w:fill="9BDB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85D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6B7FF" w:themeFill="accent1" w:themeFillTint="7F"/>
      </w:tcPr>
    </w:tblStylePr>
    <w:tblStylePr w:type="band1Horz">
      <w:tblPr/>
      <w:tcPr>
        <w:shd w:val="clear" w:color="auto" w:fill="36B7FF" w:themeFill="accent1" w:themeFillTint="7F"/>
      </w:tcPr>
    </w:tblStylePr>
  </w:style>
  <w:style w:type="table" w:styleId="MediumGrid1-Accent2">
    <w:name w:val="Medium Grid 1 Accent 2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BA953" w:themeColor="accent2" w:themeTint="BF"/>
        <w:left w:val="single" w:sz="8" w:space="0" w:color="EBA953" w:themeColor="accent2" w:themeTint="BF"/>
        <w:bottom w:val="single" w:sz="8" w:space="0" w:color="EBA953" w:themeColor="accent2" w:themeTint="BF"/>
        <w:right w:val="single" w:sz="8" w:space="0" w:color="EBA953" w:themeColor="accent2" w:themeTint="BF"/>
        <w:insideH w:val="single" w:sz="8" w:space="0" w:color="EBA953" w:themeColor="accent2" w:themeTint="BF"/>
        <w:insideV w:val="single" w:sz="8" w:space="0" w:color="EBA953" w:themeColor="accent2" w:themeTint="BF"/>
      </w:tblBorders>
    </w:tblPr>
    <w:tcPr>
      <w:shd w:val="clear" w:color="auto" w:fill="F8E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A95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68C" w:themeFill="accent2" w:themeFillTint="7F"/>
      </w:tcPr>
    </w:tblStylePr>
    <w:tblStylePr w:type="band1Horz">
      <w:tblPr/>
      <w:tcPr>
        <w:shd w:val="clear" w:color="auto" w:fill="F2C68C" w:themeFill="accent2" w:themeFillTint="7F"/>
      </w:tcPr>
    </w:tblStylePr>
  </w:style>
  <w:style w:type="table" w:styleId="MediumGrid1-Accent3">
    <w:name w:val="Medium Grid 1 Accent 3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D9D1CD" w:themeColor="accent3" w:themeTint="BF"/>
        <w:left w:val="single" w:sz="8" w:space="0" w:color="D9D1CD" w:themeColor="accent3" w:themeTint="BF"/>
        <w:bottom w:val="single" w:sz="8" w:space="0" w:color="D9D1CD" w:themeColor="accent3" w:themeTint="BF"/>
        <w:right w:val="single" w:sz="8" w:space="0" w:color="D9D1CD" w:themeColor="accent3" w:themeTint="BF"/>
        <w:insideH w:val="single" w:sz="8" w:space="0" w:color="D9D1CD" w:themeColor="accent3" w:themeTint="BF"/>
        <w:insideV w:val="single" w:sz="8" w:space="0" w:color="D9D1CD" w:themeColor="accent3" w:themeTint="BF"/>
      </w:tblBorders>
    </w:tblPr>
    <w:tcPr>
      <w:shd w:val="clear" w:color="auto" w:fill="F2F0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9D1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DE" w:themeFill="accent3" w:themeFillTint="7F"/>
      </w:tcPr>
    </w:tblStylePr>
    <w:tblStylePr w:type="band1Horz">
      <w:tblPr/>
      <w:tcPr>
        <w:shd w:val="clear" w:color="auto" w:fill="E6E0DE" w:themeFill="accent3" w:themeFillTint="7F"/>
      </w:tcPr>
    </w:tblStylePr>
  </w:style>
  <w:style w:type="table" w:styleId="MediumGrid1-Accent4">
    <w:name w:val="Medium Grid 1 Accent 4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69990" w:themeColor="accent4" w:themeTint="BF"/>
        <w:left w:val="single" w:sz="8" w:space="0" w:color="C69990" w:themeColor="accent4" w:themeTint="BF"/>
        <w:bottom w:val="single" w:sz="8" w:space="0" w:color="C69990" w:themeColor="accent4" w:themeTint="BF"/>
        <w:right w:val="single" w:sz="8" w:space="0" w:color="C69990" w:themeColor="accent4" w:themeTint="BF"/>
        <w:insideH w:val="single" w:sz="8" w:space="0" w:color="C69990" w:themeColor="accent4" w:themeTint="BF"/>
        <w:insideV w:val="single" w:sz="8" w:space="0" w:color="C69990" w:themeColor="accent4" w:themeTint="BF"/>
      </w:tblBorders>
    </w:tblPr>
    <w:tcPr>
      <w:shd w:val="clear" w:color="auto" w:fill="ECDD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999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BB5" w:themeFill="accent4" w:themeFillTint="7F"/>
      </w:tcPr>
    </w:tblStylePr>
    <w:tblStylePr w:type="band1Horz">
      <w:tblPr/>
      <w:tcPr>
        <w:shd w:val="clear" w:color="auto" w:fill="D9BBB5" w:themeFill="accent4" w:themeFillTint="7F"/>
      </w:tcPr>
    </w:tblStylePr>
  </w:style>
  <w:style w:type="table" w:styleId="MediumGrid1-Accent5">
    <w:name w:val="Medium Grid 1 Accent 5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92ABBC" w:themeColor="accent5" w:themeTint="BF"/>
        <w:left w:val="single" w:sz="8" w:space="0" w:color="92ABBC" w:themeColor="accent5" w:themeTint="BF"/>
        <w:bottom w:val="single" w:sz="8" w:space="0" w:color="92ABBC" w:themeColor="accent5" w:themeTint="BF"/>
        <w:right w:val="single" w:sz="8" w:space="0" w:color="92ABBC" w:themeColor="accent5" w:themeTint="BF"/>
        <w:insideH w:val="single" w:sz="8" w:space="0" w:color="92ABBC" w:themeColor="accent5" w:themeTint="BF"/>
        <w:insideV w:val="single" w:sz="8" w:space="0" w:color="92ABBC" w:themeColor="accent5" w:themeTint="BF"/>
      </w:tblBorders>
    </w:tblPr>
    <w:tcPr>
      <w:shd w:val="clear" w:color="auto" w:fill="DBE3E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ABB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C7D2" w:themeFill="accent5" w:themeFillTint="7F"/>
      </w:tcPr>
    </w:tblStylePr>
    <w:tblStylePr w:type="band1Horz">
      <w:tblPr/>
      <w:tcPr>
        <w:shd w:val="clear" w:color="auto" w:fill="B6C7D2" w:themeFill="accent5" w:themeFillTint="7F"/>
      </w:tcPr>
    </w:tblStylePr>
  </w:style>
  <w:style w:type="table" w:styleId="MediumGrid1-Accent6">
    <w:name w:val="Medium Grid 1 Accent 6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1C8BD" w:themeColor="accent6" w:themeTint="BF"/>
        <w:left w:val="single" w:sz="8" w:space="0" w:color="C1C8BD" w:themeColor="accent6" w:themeTint="BF"/>
        <w:bottom w:val="single" w:sz="8" w:space="0" w:color="C1C8BD" w:themeColor="accent6" w:themeTint="BF"/>
        <w:right w:val="single" w:sz="8" w:space="0" w:color="C1C8BD" w:themeColor="accent6" w:themeTint="BF"/>
        <w:insideH w:val="single" w:sz="8" w:space="0" w:color="C1C8BD" w:themeColor="accent6" w:themeTint="BF"/>
        <w:insideV w:val="single" w:sz="8" w:space="0" w:color="C1C8BD" w:themeColor="accent6" w:themeTint="BF"/>
      </w:tblBorders>
    </w:tblPr>
    <w:tcPr>
      <w:shd w:val="clear" w:color="auto" w:fill="EAED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C8B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AD3" w:themeFill="accent6" w:themeFillTint="7F"/>
      </w:tcPr>
    </w:tblStylePr>
    <w:tblStylePr w:type="band1Horz">
      <w:tblPr/>
      <w:tcPr>
        <w:shd w:val="clear" w:color="auto" w:fill="D5DAD3" w:themeFill="accent6" w:themeFillTint="7F"/>
      </w:tcPr>
    </w:tblStylePr>
  </w:style>
  <w:style w:type="table" w:styleId="MediumGrid2">
    <w:name w:val="Medium Grid 2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  <w:insideH w:val="single" w:sz="8" w:space="0" w:color="00456B" w:themeColor="accent1"/>
        <w:insideV w:val="single" w:sz="8" w:space="0" w:color="00456B" w:themeColor="accent1"/>
      </w:tblBorders>
    </w:tblPr>
    <w:tcPr>
      <w:shd w:val="clear" w:color="auto" w:fill="9BDB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7F0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E2FF" w:themeFill="accent1" w:themeFillTint="33"/>
      </w:tcPr>
    </w:tblStylePr>
    <w:tblStylePr w:type="band1Vert">
      <w:tblPr/>
      <w:tcPr>
        <w:shd w:val="clear" w:color="auto" w:fill="36B7FF" w:themeFill="accent1" w:themeFillTint="7F"/>
      </w:tcPr>
    </w:tblStylePr>
    <w:tblStylePr w:type="band1Horz">
      <w:tblPr/>
      <w:tcPr>
        <w:tcBorders>
          <w:insideH w:val="single" w:sz="6" w:space="0" w:color="00456B" w:themeColor="accent1"/>
          <w:insideV w:val="single" w:sz="6" w:space="0" w:color="00456B" w:themeColor="accent1"/>
        </w:tcBorders>
        <w:shd w:val="clear" w:color="auto" w:fill="36B7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  <w:insideH w:val="single" w:sz="8" w:space="0" w:color="E58E1A" w:themeColor="accent2"/>
        <w:insideV w:val="single" w:sz="8" w:space="0" w:color="E58E1A" w:themeColor="accent2"/>
      </w:tblBorders>
    </w:tblPr>
    <w:tcPr>
      <w:shd w:val="clear" w:color="auto" w:fill="F8E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8D1" w:themeFill="accent2" w:themeFillTint="33"/>
      </w:tcPr>
    </w:tblStylePr>
    <w:tblStylePr w:type="band1Vert">
      <w:tblPr/>
      <w:tcPr>
        <w:shd w:val="clear" w:color="auto" w:fill="F2C68C" w:themeFill="accent2" w:themeFillTint="7F"/>
      </w:tcPr>
    </w:tblStylePr>
    <w:tblStylePr w:type="band1Horz">
      <w:tblPr/>
      <w:tcPr>
        <w:tcBorders>
          <w:insideH w:val="single" w:sz="6" w:space="0" w:color="E58E1A" w:themeColor="accent2"/>
          <w:insideV w:val="single" w:sz="6" w:space="0" w:color="E58E1A" w:themeColor="accent2"/>
        </w:tcBorders>
        <w:shd w:val="clear" w:color="auto" w:fill="F2C68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  <w:insideH w:val="single" w:sz="8" w:space="0" w:color="CDC3BD" w:themeColor="accent3"/>
        <w:insideV w:val="single" w:sz="8" w:space="0" w:color="CDC3BD" w:themeColor="accent3"/>
      </w:tblBorders>
    </w:tblPr>
    <w:tcPr>
      <w:shd w:val="clear" w:color="auto" w:fill="F2F0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8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2F1" w:themeFill="accent3" w:themeFillTint="33"/>
      </w:tcPr>
    </w:tblStylePr>
    <w:tblStylePr w:type="band1Vert">
      <w:tblPr/>
      <w:tcPr>
        <w:shd w:val="clear" w:color="auto" w:fill="E6E0DE" w:themeFill="accent3" w:themeFillTint="7F"/>
      </w:tcPr>
    </w:tblStylePr>
    <w:tblStylePr w:type="band1Horz">
      <w:tblPr/>
      <w:tcPr>
        <w:tcBorders>
          <w:insideH w:val="single" w:sz="6" w:space="0" w:color="CDC3BD" w:themeColor="accent3"/>
          <w:insideV w:val="single" w:sz="6" w:space="0" w:color="CDC3BD" w:themeColor="accent3"/>
        </w:tcBorders>
        <w:shd w:val="clear" w:color="auto" w:fill="E6E0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  <w:insideH w:val="single" w:sz="8" w:space="0" w:color="B4786C" w:themeColor="accent4"/>
        <w:insideV w:val="single" w:sz="8" w:space="0" w:color="B4786C" w:themeColor="accent4"/>
      </w:tblBorders>
    </w:tblPr>
    <w:tcPr>
      <w:shd w:val="clear" w:color="auto" w:fill="ECDD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1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3E1" w:themeFill="accent4" w:themeFillTint="33"/>
      </w:tcPr>
    </w:tblStylePr>
    <w:tblStylePr w:type="band1Vert">
      <w:tblPr/>
      <w:tcPr>
        <w:shd w:val="clear" w:color="auto" w:fill="D9BBB5" w:themeFill="accent4" w:themeFillTint="7F"/>
      </w:tcPr>
    </w:tblStylePr>
    <w:tblStylePr w:type="band1Horz">
      <w:tblPr/>
      <w:tcPr>
        <w:tcBorders>
          <w:insideH w:val="single" w:sz="6" w:space="0" w:color="B4786C" w:themeColor="accent4"/>
          <w:insideV w:val="single" w:sz="6" w:space="0" w:color="B4786C" w:themeColor="accent4"/>
        </w:tcBorders>
        <w:shd w:val="clear" w:color="auto" w:fill="D9BBB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  <w:insideH w:val="single" w:sz="8" w:space="0" w:color="6E90A6" w:themeColor="accent5"/>
        <w:insideV w:val="single" w:sz="8" w:space="0" w:color="6E90A6" w:themeColor="accent5"/>
      </w:tblBorders>
    </w:tblPr>
    <w:tcPr>
      <w:shd w:val="clear" w:color="auto" w:fill="DBE3E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0F4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8ED" w:themeFill="accent5" w:themeFillTint="33"/>
      </w:tcPr>
    </w:tblStylePr>
    <w:tblStylePr w:type="band1Vert">
      <w:tblPr/>
      <w:tcPr>
        <w:shd w:val="clear" w:color="auto" w:fill="B6C7D2" w:themeFill="accent5" w:themeFillTint="7F"/>
      </w:tcPr>
    </w:tblStylePr>
    <w:tblStylePr w:type="band1Horz">
      <w:tblPr/>
      <w:tcPr>
        <w:tcBorders>
          <w:insideH w:val="single" w:sz="6" w:space="0" w:color="6E90A6" w:themeColor="accent5"/>
          <w:insideV w:val="single" w:sz="6" w:space="0" w:color="6E90A6" w:themeColor="accent5"/>
        </w:tcBorders>
        <w:shd w:val="clear" w:color="auto" w:fill="B6C7D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  <w:insideH w:val="single" w:sz="8" w:space="0" w:color="ADB6A8" w:themeColor="accent6"/>
        <w:insideV w:val="single" w:sz="8" w:space="0" w:color="ADB6A8" w:themeColor="accent6"/>
      </w:tblBorders>
    </w:tblPr>
    <w:tcPr>
      <w:shd w:val="clear" w:color="auto" w:fill="EAED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6F7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0ED" w:themeFill="accent6" w:themeFillTint="33"/>
      </w:tcPr>
    </w:tblStylePr>
    <w:tblStylePr w:type="band1Vert">
      <w:tblPr/>
      <w:tcPr>
        <w:shd w:val="clear" w:color="auto" w:fill="D5DAD3" w:themeFill="accent6" w:themeFillTint="7F"/>
      </w:tcPr>
    </w:tblStylePr>
    <w:tblStylePr w:type="band1Horz">
      <w:tblPr/>
      <w:tcPr>
        <w:tcBorders>
          <w:insideH w:val="single" w:sz="6" w:space="0" w:color="ADB6A8" w:themeColor="accent6"/>
          <w:insideV w:val="single" w:sz="6" w:space="0" w:color="ADB6A8" w:themeColor="accent6"/>
        </w:tcBorders>
        <w:shd w:val="clear" w:color="auto" w:fill="D5DAD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BDB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56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56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56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56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6B7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6B7FF" w:themeFill="accent1" w:themeFillTint="7F"/>
      </w:tcPr>
    </w:tblStylePr>
  </w:style>
  <w:style w:type="table" w:styleId="MediumGrid3-Accent2">
    <w:name w:val="Medium Grid 3 Accent 2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E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8E1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8E1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58E1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58E1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C68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C68C" w:themeFill="accent2" w:themeFillTint="7F"/>
      </w:tcPr>
    </w:tblStylePr>
  </w:style>
  <w:style w:type="table" w:styleId="MediumGrid3-Accent3">
    <w:name w:val="Medium Grid 3 Accent 3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F0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DC3B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DC3B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DC3B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DC3B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6E0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6E0DE" w:themeFill="accent3" w:themeFillTint="7F"/>
      </w:tcPr>
    </w:tblStylePr>
  </w:style>
  <w:style w:type="table" w:styleId="MediumGrid3-Accent4">
    <w:name w:val="Medium Grid 3 Accent 4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D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786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786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786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786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BB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BB5" w:themeFill="accent4" w:themeFillTint="7F"/>
      </w:tcPr>
    </w:tblStylePr>
  </w:style>
  <w:style w:type="table" w:styleId="MediumGrid3-Accent5">
    <w:name w:val="Medium Grid 3 Accent 5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3E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90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90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E90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E90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C7D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C7D2" w:themeFill="accent5" w:themeFillTint="7F"/>
      </w:tcPr>
    </w:tblStylePr>
  </w:style>
  <w:style w:type="table" w:styleId="MediumGrid3-Accent6">
    <w:name w:val="Medium Grid 3 Accent 6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D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B6A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B6A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B6A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B6A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DAD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DAD3" w:themeFill="accent6" w:themeFillTint="7F"/>
      </w:tcPr>
    </w:tblStylePr>
  </w:style>
  <w:style w:type="table" w:styleId="MediumList1">
    <w:name w:val="Medium List 1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456B" w:themeColor="accent1"/>
        <w:bottom w:val="single" w:sz="8" w:space="0" w:color="00456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56B" w:themeColor="accent1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00456B" w:themeColor="accent1"/>
          <w:bottom w:val="single" w:sz="8" w:space="0" w:color="00456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56B" w:themeColor="accent1"/>
          <w:bottom w:val="single" w:sz="8" w:space="0" w:color="00456B" w:themeColor="accent1"/>
        </w:tcBorders>
      </w:tcPr>
    </w:tblStylePr>
    <w:tblStylePr w:type="band1Vert">
      <w:tblPr/>
      <w:tcPr>
        <w:shd w:val="clear" w:color="auto" w:fill="9BDBFF" w:themeFill="accent1" w:themeFillTint="3F"/>
      </w:tcPr>
    </w:tblStylePr>
    <w:tblStylePr w:type="band1Horz">
      <w:tblPr/>
      <w:tcPr>
        <w:shd w:val="clear" w:color="auto" w:fill="9BDBFF" w:themeFill="accent1" w:themeFillTint="3F"/>
      </w:tcPr>
    </w:tblStylePr>
  </w:style>
  <w:style w:type="table" w:styleId="MediumList1-Accent2">
    <w:name w:val="Medium List 1 Accent 2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58E1A" w:themeColor="accent2"/>
        <w:bottom w:val="single" w:sz="8" w:space="0" w:color="E58E1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58E1A" w:themeColor="accent2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E58E1A" w:themeColor="accent2"/>
          <w:bottom w:val="single" w:sz="8" w:space="0" w:color="E58E1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58E1A" w:themeColor="accent2"/>
          <w:bottom w:val="single" w:sz="8" w:space="0" w:color="E58E1A" w:themeColor="accent2"/>
        </w:tcBorders>
      </w:tcPr>
    </w:tblStylePr>
    <w:tblStylePr w:type="band1Vert">
      <w:tblPr/>
      <w:tcPr>
        <w:shd w:val="clear" w:color="auto" w:fill="F8E2C6" w:themeFill="accent2" w:themeFillTint="3F"/>
      </w:tcPr>
    </w:tblStylePr>
    <w:tblStylePr w:type="band1Horz">
      <w:tblPr/>
      <w:tcPr>
        <w:shd w:val="clear" w:color="auto" w:fill="F8E2C6" w:themeFill="accent2" w:themeFillTint="3F"/>
      </w:tcPr>
    </w:tblStylePr>
  </w:style>
  <w:style w:type="table" w:styleId="MediumList1-Accent3">
    <w:name w:val="Medium List 1 Accent 3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DC3BD" w:themeColor="accent3"/>
        <w:bottom w:val="single" w:sz="8" w:space="0" w:color="CDC3B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DC3BD" w:themeColor="accent3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CDC3BD" w:themeColor="accent3"/>
          <w:bottom w:val="single" w:sz="8" w:space="0" w:color="CDC3B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DC3BD" w:themeColor="accent3"/>
          <w:bottom w:val="single" w:sz="8" w:space="0" w:color="CDC3BD" w:themeColor="accent3"/>
        </w:tcBorders>
      </w:tcPr>
    </w:tblStylePr>
    <w:tblStylePr w:type="band1Vert">
      <w:tblPr/>
      <w:tcPr>
        <w:shd w:val="clear" w:color="auto" w:fill="F2F0EE" w:themeFill="accent3" w:themeFillTint="3F"/>
      </w:tcPr>
    </w:tblStylePr>
    <w:tblStylePr w:type="band1Horz">
      <w:tblPr/>
      <w:tcPr>
        <w:shd w:val="clear" w:color="auto" w:fill="F2F0EE" w:themeFill="accent3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4786C" w:themeColor="accent4"/>
        <w:bottom w:val="single" w:sz="8" w:space="0" w:color="B4786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786C" w:themeColor="accent4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B4786C" w:themeColor="accent4"/>
          <w:bottom w:val="single" w:sz="8" w:space="0" w:color="B4786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786C" w:themeColor="accent4"/>
          <w:bottom w:val="single" w:sz="8" w:space="0" w:color="B4786C" w:themeColor="accent4"/>
        </w:tcBorders>
      </w:tcPr>
    </w:tblStylePr>
    <w:tblStylePr w:type="band1Vert">
      <w:tblPr/>
      <w:tcPr>
        <w:shd w:val="clear" w:color="auto" w:fill="ECDDDA" w:themeFill="accent4" w:themeFillTint="3F"/>
      </w:tcPr>
    </w:tblStylePr>
    <w:tblStylePr w:type="band1Horz">
      <w:tblPr/>
      <w:tcPr>
        <w:shd w:val="clear" w:color="auto" w:fill="ECDDDA" w:themeFill="accent4" w:themeFillTint="3F"/>
      </w:tcPr>
    </w:tblStylePr>
  </w:style>
  <w:style w:type="table" w:styleId="MediumList1-Accent5">
    <w:name w:val="Medium List 1 Accent 5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E90A6" w:themeColor="accent5"/>
        <w:bottom w:val="single" w:sz="8" w:space="0" w:color="6E90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E90A6" w:themeColor="accent5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6E90A6" w:themeColor="accent5"/>
          <w:bottom w:val="single" w:sz="8" w:space="0" w:color="6E90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E90A6" w:themeColor="accent5"/>
          <w:bottom w:val="single" w:sz="8" w:space="0" w:color="6E90A6" w:themeColor="accent5"/>
        </w:tcBorders>
      </w:tcPr>
    </w:tblStylePr>
    <w:tblStylePr w:type="band1Vert">
      <w:tblPr/>
      <w:tcPr>
        <w:shd w:val="clear" w:color="auto" w:fill="DBE3E9" w:themeFill="accent5" w:themeFillTint="3F"/>
      </w:tcPr>
    </w:tblStylePr>
    <w:tblStylePr w:type="band1Horz">
      <w:tblPr/>
      <w:tcPr>
        <w:shd w:val="clear" w:color="auto" w:fill="DBE3E9" w:themeFill="accent5" w:themeFillTint="3F"/>
      </w:tcPr>
    </w:tblStylePr>
  </w:style>
  <w:style w:type="table" w:styleId="MediumList1-Accent6">
    <w:name w:val="Medium List 1 Accent 6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DB6A8" w:themeColor="accent6"/>
        <w:bottom w:val="single" w:sz="8" w:space="0" w:color="ADB6A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B6A8" w:themeColor="accent6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ADB6A8" w:themeColor="accent6"/>
          <w:bottom w:val="single" w:sz="8" w:space="0" w:color="ADB6A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B6A8" w:themeColor="accent6"/>
          <w:bottom w:val="single" w:sz="8" w:space="0" w:color="ADB6A8" w:themeColor="accent6"/>
        </w:tcBorders>
      </w:tcPr>
    </w:tblStylePr>
    <w:tblStylePr w:type="band1Vert">
      <w:tblPr/>
      <w:tcPr>
        <w:shd w:val="clear" w:color="auto" w:fill="EAEDE9" w:themeFill="accent6" w:themeFillTint="3F"/>
      </w:tcPr>
    </w:tblStylePr>
    <w:tblStylePr w:type="band1Horz">
      <w:tblPr/>
      <w:tcPr>
        <w:shd w:val="clear" w:color="auto" w:fill="EAEDE9" w:themeFill="accent6" w:themeFillTint="3F"/>
      </w:tcPr>
    </w:tblStylePr>
  </w:style>
  <w:style w:type="table" w:styleId="MediumList2">
    <w:name w:val="Medium List 2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56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56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56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56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BDB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58E1A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58E1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58E1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E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DC3B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DC3BD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DC3B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DC3B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F0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4786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4786C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786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786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D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E90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E90A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E90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E90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3E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B6A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DB6A8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B6A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B6A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D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85D0" w:themeColor="accent1" w:themeTint="BF"/>
        <w:left w:val="single" w:sz="8" w:space="0" w:color="0085D0" w:themeColor="accent1" w:themeTint="BF"/>
        <w:bottom w:val="single" w:sz="8" w:space="0" w:color="0085D0" w:themeColor="accent1" w:themeTint="BF"/>
        <w:right w:val="single" w:sz="8" w:space="0" w:color="0085D0" w:themeColor="accent1" w:themeTint="BF"/>
        <w:insideH w:val="single" w:sz="8" w:space="0" w:color="0085D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85D0" w:themeColor="accent1" w:themeTint="BF"/>
          <w:left w:val="single" w:sz="8" w:space="0" w:color="0085D0" w:themeColor="accent1" w:themeTint="BF"/>
          <w:bottom w:val="single" w:sz="8" w:space="0" w:color="0085D0" w:themeColor="accent1" w:themeTint="BF"/>
          <w:right w:val="single" w:sz="8" w:space="0" w:color="0085D0" w:themeColor="accent1" w:themeTint="BF"/>
          <w:insideH w:val="nil"/>
          <w:insideV w:val="nil"/>
        </w:tcBorders>
        <w:shd w:val="clear" w:color="auto" w:fill="00456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5D0" w:themeColor="accent1" w:themeTint="BF"/>
          <w:left w:val="single" w:sz="8" w:space="0" w:color="0085D0" w:themeColor="accent1" w:themeTint="BF"/>
          <w:bottom w:val="single" w:sz="8" w:space="0" w:color="0085D0" w:themeColor="accent1" w:themeTint="BF"/>
          <w:right w:val="single" w:sz="8" w:space="0" w:color="0085D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BDB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BDB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BA953" w:themeColor="accent2" w:themeTint="BF"/>
        <w:left w:val="single" w:sz="8" w:space="0" w:color="EBA953" w:themeColor="accent2" w:themeTint="BF"/>
        <w:bottom w:val="single" w:sz="8" w:space="0" w:color="EBA953" w:themeColor="accent2" w:themeTint="BF"/>
        <w:right w:val="single" w:sz="8" w:space="0" w:color="EBA953" w:themeColor="accent2" w:themeTint="BF"/>
        <w:insideH w:val="single" w:sz="8" w:space="0" w:color="EBA95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A953" w:themeColor="accent2" w:themeTint="BF"/>
          <w:left w:val="single" w:sz="8" w:space="0" w:color="EBA953" w:themeColor="accent2" w:themeTint="BF"/>
          <w:bottom w:val="single" w:sz="8" w:space="0" w:color="EBA953" w:themeColor="accent2" w:themeTint="BF"/>
          <w:right w:val="single" w:sz="8" w:space="0" w:color="EBA953" w:themeColor="accent2" w:themeTint="BF"/>
          <w:insideH w:val="nil"/>
          <w:insideV w:val="nil"/>
        </w:tcBorders>
        <w:shd w:val="clear" w:color="auto" w:fill="E58E1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A953" w:themeColor="accent2" w:themeTint="BF"/>
          <w:left w:val="single" w:sz="8" w:space="0" w:color="EBA953" w:themeColor="accent2" w:themeTint="BF"/>
          <w:bottom w:val="single" w:sz="8" w:space="0" w:color="EBA953" w:themeColor="accent2" w:themeTint="BF"/>
          <w:right w:val="single" w:sz="8" w:space="0" w:color="EBA95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E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D9D1CD" w:themeColor="accent3" w:themeTint="BF"/>
        <w:left w:val="single" w:sz="8" w:space="0" w:color="D9D1CD" w:themeColor="accent3" w:themeTint="BF"/>
        <w:bottom w:val="single" w:sz="8" w:space="0" w:color="D9D1CD" w:themeColor="accent3" w:themeTint="BF"/>
        <w:right w:val="single" w:sz="8" w:space="0" w:color="D9D1CD" w:themeColor="accent3" w:themeTint="BF"/>
        <w:insideH w:val="single" w:sz="8" w:space="0" w:color="D9D1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9D1CD" w:themeColor="accent3" w:themeTint="BF"/>
          <w:left w:val="single" w:sz="8" w:space="0" w:color="D9D1CD" w:themeColor="accent3" w:themeTint="BF"/>
          <w:bottom w:val="single" w:sz="8" w:space="0" w:color="D9D1CD" w:themeColor="accent3" w:themeTint="BF"/>
          <w:right w:val="single" w:sz="8" w:space="0" w:color="D9D1CD" w:themeColor="accent3" w:themeTint="BF"/>
          <w:insideH w:val="nil"/>
          <w:insideV w:val="nil"/>
        </w:tcBorders>
        <w:shd w:val="clear" w:color="auto" w:fill="CDC3B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9D1CD" w:themeColor="accent3" w:themeTint="BF"/>
          <w:left w:val="single" w:sz="8" w:space="0" w:color="D9D1CD" w:themeColor="accent3" w:themeTint="BF"/>
          <w:bottom w:val="single" w:sz="8" w:space="0" w:color="D9D1CD" w:themeColor="accent3" w:themeTint="BF"/>
          <w:right w:val="single" w:sz="8" w:space="0" w:color="D9D1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F0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69990" w:themeColor="accent4" w:themeTint="BF"/>
        <w:left w:val="single" w:sz="8" w:space="0" w:color="C69990" w:themeColor="accent4" w:themeTint="BF"/>
        <w:bottom w:val="single" w:sz="8" w:space="0" w:color="C69990" w:themeColor="accent4" w:themeTint="BF"/>
        <w:right w:val="single" w:sz="8" w:space="0" w:color="C69990" w:themeColor="accent4" w:themeTint="BF"/>
        <w:insideH w:val="single" w:sz="8" w:space="0" w:color="C6999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9990" w:themeColor="accent4" w:themeTint="BF"/>
          <w:left w:val="single" w:sz="8" w:space="0" w:color="C69990" w:themeColor="accent4" w:themeTint="BF"/>
          <w:bottom w:val="single" w:sz="8" w:space="0" w:color="C69990" w:themeColor="accent4" w:themeTint="BF"/>
          <w:right w:val="single" w:sz="8" w:space="0" w:color="C69990" w:themeColor="accent4" w:themeTint="BF"/>
          <w:insideH w:val="nil"/>
          <w:insideV w:val="nil"/>
        </w:tcBorders>
        <w:shd w:val="clear" w:color="auto" w:fill="B4786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9990" w:themeColor="accent4" w:themeTint="BF"/>
          <w:left w:val="single" w:sz="8" w:space="0" w:color="C69990" w:themeColor="accent4" w:themeTint="BF"/>
          <w:bottom w:val="single" w:sz="8" w:space="0" w:color="C69990" w:themeColor="accent4" w:themeTint="BF"/>
          <w:right w:val="single" w:sz="8" w:space="0" w:color="C6999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92ABBC" w:themeColor="accent5" w:themeTint="BF"/>
        <w:left w:val="single" w:sz="8" w:space="0" w:color="92ABBC" w:themeColor="accent5" w:themeTint="BF"/>
        <w:bottom w:val="single" w:sz="8" w:space="0" w:color="92ABBC" w:themeColor="accent5" w:themeTint="BF"/>
        <w:right w:val="single" w:sz="8" w:space="0" w:color="92ABBC" w:themeColor="accent5" w:themeTint="BF"/>
        <w:insideH w:val="single" w:sz="8" w:space="0" w:color="92ABB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ABBC" w:themeColor="accent5" w:themeTint="BF"/>
          <w:left w:val="single" w:sz="8" w:space="0" w:color="92ABBC" w:themeColor="accent5" w:themeTint="BF"/>
          <w:bottom w:val="single" w:sz="8" w:space="0" w:color="92ABBC" w:themeColor="accent5" w:themeTint="BF"/>
          <w:right w:val="single" w:sz="8" w:space="0" w:color="92ABBC" w:themeColor="accent5" w:themeTint="BF"/>
          <w:insideH w:val="nil"/>
          <w:insideV w:val="nil"/>
        </w:tcBorders>
        <w:shd w:val="clear" w:color="auto" w:fill="6E90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ABBC" w:themeColor="accent5" w:themeTint="BF"/>
          <w:left w:val="single" w:sz="8" w:space="0" w:color="92ABBC" w:themeColor="accent5" w:themeTint="BF"/>
          <w:bottom w:val="single" w:sz="8" w:space="0" w:color="92ABBC" w:themeColor="accent5" w:themeTint="BF"/>
          <w:right w:val="single" w:sz="8" w:space="0" w:color="92ABB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3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3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1C8BD" w:themeColor="accent6" w:themeTint="BF"/>
        <w:left w:val="single" w:sz="8" w:space="0" w:color="C1C8BD" w:themeColor="accent6" w:themeTint="BF"/>
        <w:bottom w:val="single" w:sz="8" w:space="0" w:color="C1C8BD" w:themeColor="accent6" w:themeTint="BF"/>
        <w:right w:val="single" w:sz="8" w:space="0" w:color="C1C8BD" w:themeColor="accent6" w:themeTint="BF"/>
        <w:insideH w:val="single" w:sz="8" w:space="0" w:color="C1C8B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C8BD" w:themeColor="accent6" w:themeTint="BF"/>
          <w:left w:val="single" w:sz="8" w:space="0" w:color="C1C8BD" w:themeColor="accent6" w:themeTint="BF"/>
          <w:bottom w:val="single" w:sz="8" w:space="0" w:color="C1C8BD" w:themeColor="accent6" w:themeTint="BF"/>
          <w:right w:val="single" w:sz="8" w:space="0" w:color="C1C8BD" w:themeColor="accent6" w:themeTint="BF"/>
          <w:insideH w:val="nil"/>
          <w:insideV w:val="nil"/>
        </w:tcBorders>
        <w:shd w:val="clear" w:color="auto" w:fill="ADB6A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C8BD" w:themeColor="accent6" w:themeTint="BF"/>
          <w:left w:val="single" w:sz="8" w:space="0" w:color="C1C8BD" w:themeColor="accent6" w:themeTint="BF"/>
          <w:bottom w:val="single" w:sz="8" w:space="0" w:color="C1C8BD" w:themeColor="accent6" w:themeTint="BF"/>
          <w:right w:val="single" w:sz="8" w:space="0" w:color="C1C8B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D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D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56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56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56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58E1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58E1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58E1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DC3B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DC3B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DC3B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786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786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786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90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90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E90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B6A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B6A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B6A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locked/>
    <w:rsid w:val="00F8075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80750"/>
    <w:rPr>
      <w:rFonts w:asciiTheme="majorHAnsi" w:eastAsiaTheme="majorEastAsia" w:hAnsiTheme="majorHAnsi" w:cstheme="majorBidi"/>
      <w:noProof w:val="0"/>
      <w:sz w:val="24"/>
      <w:szCs w:val="24"/>
      <w:shd w:val="pct20" w:color="auto" w:fill="auto"/>
      <w:lang w:val="en-AU"/>
    </w:rPr>
  </w:style>
  <w:style w:type="paragraph" w:styleId="NoSpacing">
    <w:name w:val="No Spacing"/>
    <w:uiPriority w:val="1"/>
    <w:semiHidden/>
    <w:unhideWhenUsed/>
    <w:qFormat/>
    <w:rsid w:val="00F8075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locked/>
    <w:rsid w:val="00F80750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locked/>
    <w:rsid w:val="00F8075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locked/>
    <w:rsid w:val="00F8075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80750"/>
    <w:rPr>
      <w:noProof w:val="0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0750"/>
    <w:rPr>
      <w:noProof w:val="0"/>
      <w:lang w:val="en-AU"/>
    </w:rPr>
  </w:style>
  <w:style w:type="paragraph" w:styleId="PlainText">
    <w:name w:val="Plain Text"/>
    <w:basedOn w:val="Normal"/>
    <w:link w:val="PlainTextChar"/>
    <w:uiPriority w:val="99"/>
    <w:semiHidden/>
    <w:unhideWhenUsed/>
    <w:locked/>
    <w:rsid w:val="00F8075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80750"/>
    <w:rPr>
      <w:rFonts w:ascii="Consolas" w:hAnsi="Consolas"/>
      <w:noProof w:val="0"/>
      <w:sz w:val="21"/>
      <w:szCs w:val="21"/>
      <w:lang w:val="en-AU"/>
    </w:rPr>
  </w:style>
  <w:style w:type="paragraph" w:styleId="Quote">
    <w:name w:val="Quote"/>
    <w:basedOn w:val="Normal"/>
    <w:next w:val="Normal"/>
    <w:link w:val="QuoteChar"/>
    <w:uiPriority w:val="29"/>
    <w:semiHidden/>
    <w:qFormat/>
    <w:locked/>
    <w:rsid w:val="00F8075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80750"/>
    <w:rPr>
      <w:i/>
      <w:iCs/>
      <w:noProof w:val="0"/>
      <w:color w:val="000000" w:themeColor="text1"/>
      <w:lang w:val="en-AU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locked/>
    <w:rsid w:val="00F8075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80750"/>
    <w:rPr>
      <w:noProof w:val="0"/>
      <w:lang w:val="en-AU"/>
    </w:rPr>
  </w:style>
  <w:style w:type="paragraph" w:styleId="Signature">
    <w:name w:val="Signature"/>
    <w:basedOn w:val="Normal"/>
    <w:link w:val="SignatureChar"/>
    <w:uiPriority w:val="99"/>
    <w:semiHidden/>
    <w:unhideWhenUsed/>
    <w:locked/>
    <w:rsid w:val="00F80750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80750"/>
    <w:rPr>
      <w:noProof w:val="0"/>
      <w:lang w:val="en-AU"/>
    </w:rPr>
  </w:style>
  <w:style w:type="character" w:styleId="Strong">
    <w:name w:val="Strong"/>
    <w:basedOn w:val="DefaultParagraphFont"/>
    <w:uiPriority w:val="17"/>
    <w:qFormat/>
    <w:rsid w:val="00F80750"/>
    <w:rPr>
      <w:b/>
      <w:bCs/>
      <w:noProof w:val="0"/>
      <w:lang w:val="en-AU"/>
    </w:rPr>
  </w:style>
  <w:style w:type="paragraph" w:styleId="Subtitle">
    <w:name w:val="Subtitle"/>
    <w:basedOn w:val="Normal"/>
    <w:next w:val="Normal"/>
    <w:link w:val="SubtitleChar"/>
    <w:uiPriority w:val="19"/>
    <w:semiHidden/>
    <w:unhideWhenUsed/>
    <w:qFormat/>
    <w:locked/>
    <w:rsid w:val="00F80750"/>
    <w:pPr>
      <w:numPr>
        <w:ilvl w:val="1"/>
      </w:numPr>
    </w:pPr>
    <w:rPr>
      <w:rFonts w:asciiTheme="majorHAnsi" w:eastAsiaTheme="majorEastAsia" w:hAnsiTheme="majorHAnsi" w:cstheme="majorBidi"/>
      <w:i/>
      <w:iCs/>
      <w:color w:val="00456B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9"/>
    <w:semiHidden/>
    <w:rsid w:val="00083512"/>
    <w:rPr>
      <w:rFonts w:asciiTheme="majorHAnsi" w:eastAsiaTheme="majorEastAsia" w:hAnsiTheme="majorHAnsi" w:cstheme="majorBidi"/>
      <w:i/>
      <w:iCs/>
      <w:color w:val="00456B" w:themeColor="accent1"/>
      <w:spacing w:val="15"/>
    </w:rPr>
  </w:style>
  <w:style w:type="character" w:styleId="SubtleEmphasis">
    <w:name w:val="Subtle Emphasis"/>
    <w:basedOn w:val="DefaultParagraphFont"/>
    <w:uiPriority w:val="19"/>
    <w:semiHidden/>
    <w:qFormat/>
    <w:locked/>
    <w:rsid w:val="00F80750"/>
    <w:rPr>
      <w:i/>
      <w:iCs/>
      <w:noProof w:val="0"/>
      <w:color w:val="808080" w:themeColor="text1" w:themeTint="7F"/>
      <w:lang w:val="en-AU"/>
    </w:rPr>
  </w:style>
  <w:style w:type="character" w:styleId="SubtleReference">
    <w:name w:val="Subtle Reference"/>
    <w:basedOn w:val="DefaultParagraphFont"/>
    <w:uiPriority w:val="31"/>
    <w:semiHidden/>
    <w:qFormat/>
    <w:locked/>
    <w:rsid w:val="00F80750"/>
    <w:rPr>
      <w:smallCaps/>
      <w:noProof w:val="0"/>
      <w:color w:val="E58E1A" w:themeColor="accent2"/>
      <w:u w:val="single"/>
      <w:lang w:val="en-AU"/>
    </w:rPr>
  </w:style>
  <w:style w:type="table" w:styleId="Table3Deffects1">
    <w:name w:val="Table 3D effects 1"/>
    <w:basedOn w:val="TableNormal"/>
    <w:uiPriority w:val="99"/>
    <w:semiHidden/>
    <w:unhideWhenUsed/>
    <w:locked/>
    <w:rsid w:val="00F8075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locked/>
    <w:rsid w:val="00F8075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locked/>
    <w:rsid w:val="00F807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locked/>
    <w:rsid w:val="00F8075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locked/>
    <w:rsid w:val="00F8075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locked/>
    <w:rsid w:val="00F8075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locked/>
    <w:rsid w:val="00F8075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locked/>
    <w:rsid w:val="00F8075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locked/>
    <w:rsid w:val="00F8075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locked/>
    <w:rsid w:val="00F8075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locked/>
    <w:rsid w:val="00F8075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locked/>
    <w:rsid w:val="00F8075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locked/>
    <w:rsid w:val="00F8075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locked/>
    <w:rsid w:val="00F8075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locked/>
    <w:rsid w:val="00F8075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locked/>
    <w:rsid w:val="00F8075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locked/>
    <w:rsid w:val="00F8075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locked/>
    <w:rsid w:val="00F8075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locked/>
    <w:rsid w:val="00F8075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locked/>
    <w:rsid w:val="00F8075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locked/>
    <w:rsid w:val="00F807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locked/>
    <w:rsid w:val="00F8075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locked/>
    <w:rsid w:val="00F807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80750"/>
    <w:pPr>
      <w:spacing w:after="0"/>
      <w:ind w:left="190" w:hanging="19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8075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F8075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locked/>
    <w:rsid w:val="00F8075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locked/>
    <w:rsid w:val="00F8075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locked/>
    <w:rsid w:val="00F8075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locked/>
    <w:rsid w:val="00F807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locked/>
    <w:rsid w:val="00F8075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locked/>
    <w:rsid w:val="00F8075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locked/>
    <w:rsid w:val="00F8075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80750"/>
    <w:rPr>
      <w:rFonts w:asciiTheme="majorHAnsi" w:eastAsiaTheme="majorEastAsia" w:hAnsiTheme="majorHAnsi" w:cstheme="majorBidi"/>
      <w:b/>
      <w:bCs/>
    </w:rPr>
  </w:style>
  <w:style w:type="paragraph" w:styleId="TOC2">
    <w:name w:val="toc 2"/>
    <w:basedOn w:val="Normal"/>
    <w:next w:val="Normal"/>
    <w:autoRedefine/>
    <w:uiPriority w:val="39"/>
    <w:rsid w:val="008637EC"/>
    <w:pPr>
      <w:tabs>
        <w:tab w:val="left" w:pos="635"/>
        <w:tab w:val="left" w:pos="1140"/>
        <w:tab w:val="right" w:leader="dot" w:pos="10546"/>
      </w:tabs>
      <w:spacing w:after="100"/>
      <w:ind w:left="442"/>
      <w:contextualSpacing/>
    </w:pPr>
  </w:style>
  <w:style w:type="paragraph" w:styleId="TOC3">
    <w:name w:val="toc 3"/>
    <w:basedOn w:val="Normal"/>
    <w:next w:val="Normal"/>
    <w:autoRedefine/>
    <w:uiPriority w:val="39"/>
    <w:rsid w:val="008637EC"/>
    <w:pPr>
      <w:tabs>
        <w:tab w:val="left" w:pos="1644"/>
        <w:tab w:val="left" w:pos="2030"/>
        <w:tab w:val="right" w:leader="dot" w:pos="10546"/>
      </w:tabs>
      <w:spacing w:after="100"/>
      <w:ind w:left="1140"/>
    </w:pPr>
  </w:style>
  <w:style w:type="paragraph" w:styleId="TOC4">
    <w:name w:val="toc 4"/>
    <w:basedOn w:val="Normal"/>
    <w:next w:val="Normal"/>
    <w:autoRedefine/>
    <w:uiPriority w:val="39"/>
    <w:semiHidden/>
    <w:unhideWhenUsed/>
    <w:locked/>
    <w:rsid w:val="00F80750"/>
    <w:pPr>
      <w:spacing w:after="100"/>
      <w:ind w:left="570"/>
    </w:pPr>
  </w:style>
  <w:style w:type="paragraph" w:styleId="TOC5">
    <w:name w:val="toc 5"/>
    <w:basedOn w:val="Normal"/>
    <w:next w:val="Normal"/>
    <w:autoRedefine/>
    <w:uiPriority w:val="39"/>
    <w:semiHidden/>
    <w:unhideWhenUsed/>
    <w:locked/>
    <w:rsid w:val="00F80750"/>
    <w:pPr>
      <w:spacing w:after="100"/>
      <w:ind w:left="760"/>
    </w:pPr>
  </w:style>
  <w:style w:type="paragraph" w:styleId="TOC6">
    <w:name w:val="toc 6"/>
    <w:basedOn w:val="Normal"/>
    <w:next w:val="Normal"/>
    <w:autoRedefine/>
    <w:uiPriority w:val="39"/>
    <w:semiHidden/>
    <w:unhideWhenUsed/>
    <w:locked/>
    <w:rsid w:val="00F80750"/>
    <w:pPr>
      <w:spacing w:after="100"/>
      <w:ind w:left="950"/>
    </w:pPr>
  </w:style>
  <w:style w:type="paragraph" w:styleId="TOC7">
    <w:name w:val="toc 7"/>
    <w:basedOn w:val="Normal"/>
    <w:next w:val="Normal"/>
    <w:autoRedefine/>
    <w:uiPriority w:val="39"/>
    <w:semiHidden/>
    <w:unhideWhenUsed/>
    <w:locked/>
    <w:rsid w:val="00F80750"/>
    <w:pPr>
      <w:spacing w:after="100"/>
      <w:ind w:left="1140"/>
    </w:pPr>
  </w:style>
  <w:style w:type="paragraph" w:styleId="TOC8">
    <w:name w:val="toc 8"/>
    <w:basedOn w:val="Normal"/>
    <w:next w:val="Normal"/>
    <w:autoRedefine/>
    <w:uiPriority w:val="39"/>
    <w:semiHidden/>
    <w:unhideWhenUsed/>
    <w:locked/>
    <w:rsid w:val="00F80750"/>
    <w:pPr>
      <w:spacing w:after="100"/>
      <w:ind w:left="1330"/>
    </w:pPr>
  </w:style>
  <w:style w:type="paragraph" w:styleId="TOC9">
    <w:name w:val="toc 9"/>
    <w:basedOn w:val="Normal"/>
    <w:next w:val="Normal"/>
    <w:autoRedefine/>
    <w:uiPriority w:val="39"/>
    <w:semiHidden/>
    <w:unhideWhenUsed/>
    <w:locked/>
    <w:rsid w:val="00F80750"/>
    <w:pPr>
      <w:spacing w:after="100"/>
      <w:ind w:left="1520"/>
    </w:pPr>
  </w:style>
  <w:style w:type="paragraph" w:customStyle="1" w:styleId="AppendixHeading">
    <w:name w:val="Appendix Heading"/>
    <w:basedOn w:val="Heading1"/>
    <w:next w:val="Normal"/>
    <w:uiPriority w:val="11"/>
    <w:qFormat/>
    <w:rsid w:val="00034A19"/>
    <w:pPr>
      <w:numPr>
        <w:ilvl w:val="5"/>
      </w:numPr>
    </w:pPr>
  </w:style>
  <w:style w:type="paragraph" w:customStyle="1" w:styleId="Notes">
    <w:name w:val="Notes"/>
    <w:basedOn w:val="Normal"/>
    <w:semiHidden/>
    <w:qFormat/>
    <w:locked/>
    <w:rsid w:val="00503A51"/>
    <w:pPr>
      <w:numPr>
        <w:ilvl w:val="4"/>
        <w:numId w:val="25"/>
      </w:numPr>
      <w:spacing w:after="240"/>
      <w:jc w:val="both"/>
    </w:pPr>
    <w:rPr>
      <w:sz w:val="20"/>
    </w:rPr>
  </w:style>
  <w:style w:type="numbering" w:customStyle="1" w:styleId="GeneralList">
    <w:name w:val="General List"/>
    <w:uiPriority w:val="99"/>
    <w:locked/>
    <w:rsid w:val="00503A51"/>
    <w:pPr>
      <w:numPr>
        <w:numId w:val="23"/>
      </w:numPr>
    </w:pPr>
  </w:style>
  <w:style w:type="numbering" w:customStyle="1" w:styleId="CustomHeadingList">
    <w:name w:val="Custom Heading List"/>
    <w:uiPriority w:val="99"/>
    <w:rsid w:val="003A3021"/>
    <w:pPr>
      <w:numPr>
        <w:numId w:val="26"/>
      </w:numPr>
    </w:pPr>
  </w:style>
  <w:style w:type="paragraph" w:customStyle="1" w:styleId="Introduction">
    <w:name w:val="Introduction"/>
    <w:basedOn w:val="Normal"/>
    <w:uiPriority w:val="10"/>
    <w:qFormat/>
    <w:rsid w:val="00012728"/>
    <w:rPr>
      <w:sz w:val="28"/>
    </w:rPr>
  </w:style>
  <w:style w:type="paragraph" w:customStyle="1" w:styleId="CoverReportNumber">
    <w:name w:val="Cover Report Number"/>
    <w:basedOn w:val="Normal"/>
    <w:uiPriority w:val="19"/>
    <w:qFormat/>
    <w:rsid w:val="00755163"/>
    <w:pPr>
      <w:spacing w:after="0"/>
    </w:pPr>
  </w:style>
  <w:style w:type="paragraph" w:customStyle="1" w:styleId="CoverVersionDate">
    <w:name w:val="Cover Version / Date"/>
    <w:basedOn w:val="CoverReportNumber"/>
    <w:uiPriority w:val="19"/>
    <w:qFormat/>
    <w:rsid w:val="00755163"/>
  </w:style>
  <w:style w:type="table" w:customStyle="1" w:styleId="CustomTable">
    <w:name w:val="Custom Table"/>
    <w:basedOn w:val="TableGrid"/>
    <w:uiPriority w:val="99"/>
    <w:rsid w:val="00DC5900"/>
    <w:tblPr>
      <w:tblStyleRowBandSize w:val="1"/>
      <w:tblStyleColBandSize w:val="1"/>
    </w:tblPr>
    <w:tblStylePr w:type="firstRow">
      <w:rPr>
        <w:b/>
      </w:rPr>
      <w:tblPr/>
      <w:trPr>
        <w:tblHeader/>
      </w:trPr>
      <w:tcPr>
        <w:shd w:val="clear" w:color="auto" w:fill="00456B" w:themeFill="accent1"/>
      </w:tcPr>
    </w:tblStylePr>
    <w:tblStylePr w:type="lastRow">
      <w:rPr>
        <w:b/>
      </w:rPr>
    </w:tblStylePr>
    <w:tblStylePr w:type="firstCol">
      <w:rPr>
        <w:b/>
        <w:color w:val="FFFFFF" w:themeColor="background1"/>
      </w:rPr>
      <w:tblPr/>
      <w:tcPr>
        <w:shd w:val="clear" w:color="auto" w:fill="6E90A6" w:themeFill="accent5"/>
      </w:tcPr>
    </w:tblStylePr>
    <w:tblStylePr w:type="lastCol">
      <w:pPr>
        <w:jc w:val="right"/>
      </w:pPr>
    </w:tblStylePr>
    <w:tblStylePr w:type="band2Vert">
      <w:tblPr/>
      <w:tcPr>
        <w:shd w:val="clear" w:color="auto" w:fill="F5F2F1" w:themeFill="accent3" w:themeFillTint="33"/>
      </w:tcPr>
    </w:tblStylePr>
    <w:tblStylePr w:type="band2Horz">
      <w:tblPr/>
      <w:tcPr>
        <w:shd w:val="clear" w:color="auto" w:fill="E1E8ED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8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18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31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hyperlink" Target="www.knox.vic.gov.au/Page/Download.asp?name=Knox_Sustainable_Environment_Strategy.pdf&amp;size=1419406&amp;link=../Files/Knox_Sustainable_Environment_Strategy.pdf" TargetMode="External"/><Relationship Id="rId26" Type="http://schemas.openxmlformats.org/officeDocument/2006/relationships/hyperlink" Target="http://www.transport.vic.gov.au/DOI/Internet/planningprojects.nsf/AllDocs/80E779DD0C35BA08CA2573AE000509F0?OpenDocument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environment.gov.au/biodiversity/publications/strategy/chap2.html" TargetMode="External"/><Relationship Id="rId34" Type="http://schemas.openxmlformats.org/officeDocument/2006/relationships/hyperlink" Target="www.tourismexcellence.com.au/sustainability-in-tourism.htm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hyperlink" Target="http://www.environment.gov.au/heritage/ahc/publications/commission/books/australian-national-heritage-charter.html" TargetMode="External"/><Relationship Id="rId25" Type="http://schemas.openxmlformats.org/officeDocument/2006/relationships/hyperlink" Target="http://www.dse.vic.gov.au/ourenvironment-ourfuture/downloads.htm" TargetMode="External"/><Relationship Id="rId33" Type="http://schemas.openxmlformats.org/officeDocument/2006/relationships/hyperlink" Target="http://www.csu.edu.au/special/fenner/%3e%20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w.id.com.au/profile/default.aspx?id=140" TargetMode="External"/><Relationship Id="rId20" Type="http://schemas.openxmlformats.org/officeDocument/2006/relationships/hyperlink" Target="http://www.landscapecharacter.org.uk" TargetMode="External"/><Relationship Id="rId29" Type="http://schemas.openxmlformats.org/officeDocument/2006/relationships/hyperlink" Target="http://downloads.lwa2.com/downloads/publications_pdf/PF030618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hyperlink" Target="http://www.dse.vic.gov.au/dse/nrence.nsf/LinkView/EFAC7933C595DA23CA256EE7000B6CCC1C26CB3A9ABC1C2FCA256EE700148D0B" TargetMode="External"/><Relationship Id="rId32" Type="http://schemas.openxmlformats.org/officeDocument/2006/relationships/hyperlink" Target="http://www.nillumbiktourism.com/?PK_PAGE_ID=803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abs.gov.au/Ausstats/abs@.nsf/mf/3222.0" TargetMode="External"/><Relationship Id="rId23" Type="http://schemas.openxmlformats.org/officeDocument/2006/relationships/hyperlink" Target="http://www.dse.vic.gov.au/DSE/nrenpl.nsf/LinkView/1352EB2F109044AFCA2575120016BE8B718331E8AB7D9987CA256D1900299B45" TargetMode="External"/><Relationship Id="rId28" Type="http://schemas.openxmlformats.org/officeDocument/2006/relationships/hyperlink" Target="http://www.austlii.edu.au/au/legis/vic/consol_act/fafga1988205/s4.html" TargetMode="External"/><Relationship Id="rId36" Type="http://schemas.openxmlformats.org/officeDocument/2006/relationships/hyperlink" Target="http://www.whittlesea.vic.gov.au/content/content.asp?cnid=949" TargetMode="External"/><Relationship Id="rId10" Type="http://schemas.openxmlformats.org/officeDocument/2006/relationships/hyperlink" Target="http://www.dse.vic.gov.au/melbourne2030online/content/implementation_plans/06_green.html." TargetMode="External"/><Relationship Id="rId19" Type="http://schemas.openxmlformats.org/officeDocument/2006/relationships/hyperlink" Target="http://www.countryside.gov.uk/images/LCA_guidance_tcm2-19316.pdf" TargetMode="External"/><Relationship Id="rId31" Type="http://schemas.openxmlformats.org/officeDocument/2006/relationships/hyperlink" Target="http://www.lincolninst.edu/pubs/PubDetail.aspx?pubid=869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www.dse.vic.gov.au" TargetMode="External"/><Relationship Id="rId22" Type="http://schemas.openxmlformats.org/officeDocument/2006/relationships/hyperlink" Target="http://www.dse.vic.gov.au/DSE/nrenpl.nsf/LinkView/1352EB2F109044AFCA2575120016BE8B718331E8AB7D9987CA256D1900299B45" TargetMode="External"/><Relationship Id="rId27" Type="http://schemas.openxmlformats.org/officeDocument/2006/relationships/hyperlink" Target="http://www.transport.vic.gov.au/Doi/Internet/planningprojects.nsf/AllDocs/8D2A24F5A2FB7552CA256F3200257724?OpenDocument%23neits" TargetMode="External"/><Relationship Id="rId30" Type="http://schemas.openxmlformats.org/officeDocument/2006/relationships/hyperlink" Target="http://www.maribyrnong.vic.gov.au/Files/PeakOilPolicy.pdf" TargetMode="External"/><Relationship Id="rId35" Type="http://schemas.openxmlformats.org/officeDocument/2006/relationships/hyperlink" Target="http://www.dec.wa.gov.au/our-environment/sustainability/state-sustainabilitystrategy.htm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igek\Desktop\Nillumbik%20SC%20Base%20Template%20Draft%20V1%202.dotm" TargetMode="External"/></Relationships>
</file>

<file path=word/theme/theme1.xml><?xml version="1.0" encoding="utf-8"?>
<a:theme xmlns:a="http://schemas.openxmlformats.org/drawingml/2006/main" name="Office Theme">
  <a:themeElements>
    <a:clrScheme name="Nillumbik SC">
      <a:dk1>
        <a:sysClr val="windowText" lastClr="000000"/>
      </a:dk1>
      <a:lt1>
        <a:sysClr val="window" lastClr="FFFFFF"/>
      </a:lt1>
      <a:dk2>
        <a:srgbClr val="00456B"/>
      </a:dk2>
      <a:lt2>
        <a:srgbClr val="E2E9ED"/>
      </a:lt2>
      <a:accent1>
        <a:srgbClr val="00456B"/>
      </a:accent1>
      <a:accent2>
        <a:srgbClr val="E58E1A"/>
      </a:accent2>
      <a:accent3>
        <a:srgbClr val="CDC3BD"/>
      </a:accent3>
      <a:accent4>
        <a:srgbClr val="B4786C"/>
      </a:accent4>
      <a:accent5>
        <a:srgbClr val="6E90A6"/>
      </a:accent5>
      <a:accent6>
        <a:srgbClr val="ADB6A8"/>
      </a:accent6>
      <a:hlink>
        <a:srgbClr val="E58E1A"/>
      </a:hlink>
      <a:folHlink>
        <a:srgbClr val="00456B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DD23E4-7384-418A-9FBC-2443B7966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Nillumbik SC Base Template Draft V1 2</Template>
  <TotalTime>175</TotalTime>
  <Pages>59</Pages>
  <Words>18986</Words>
  <Characters>108223</Characters>
  <Application>Microsoft Office Word</Application>
  <DocSecurity>0</DocSecurity>
  <Lines>901</Lines>
  <Paragraphs>253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Nillumbik Shire Council</Company>
  <LinksUpToDate>false</LinksUpToDate>
  <CharactersWithSpaces>126956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Paige Krygger</dc:creator>
  <cp:lastModifiedBy>Paige Krygger</cp:lastModifiedBy>
  <cp:revision>2</cp:revision>
  <cp:lastPrinted>2014-02-02T12:10:00Z</cp:lastPrinted>
  <dcterms:created xsi:type="dcterms:W3CDTF">2015-01-15T04:01:00Z</dcterms:created>
  <dcterms:modified xsi:type="dcterms:W3CDTF">2015-01-18T22:22:00Z</dcterms:modified>
</cp:coreProperties>
</file>